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spacing w:after="74" w:line="240" w:lineRule="auto"/>
        <w:ind w:left="3600" w:right="99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PUSASQF104</w:t>
      </w:r>
      <w:r w:rsidDel="00000000" w:rsidR="00000000" w:rsidRPr="00000000">
        <w:rPr>
          <w:rtl w:val="0"/>
        </w:rPr>
      </w:r>
    </w:p>
    <w:p w:rsidR="00000000" w:rsidDel="00000000" w:rsidP="00000000" w:rsidRDefault="00000000" w:rsidRPr="00000000" w14:paraId="00000004">
      <w:pPr>
        <w:spacing w:after="0" w:line="240" w:lineRule="auto"/>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Business Finance - 1</w:t>
      </w:r>
      <w:r w:rsidDel="00000000" w:rsidR="00000000" w:rsidRPr="00000000">
        <w:rPr>
          <w:rtl w:val="0"/>
        </w:rPr>
      </w:r>
    </w:p>
    <w:p w:rsidR="00000000" w:rsidDel="00000000" w:rsidP="00000000" w:rsidRDefault="00000000" w:rsidRPr="00000000" w14:paraId="00000005">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Time: 2 hours </w:t>
      </w:r>
      <w:r w:rsidDel="00000000" w:rsidR="00000000" w:rsidRPr="00000000">
        <w:rPr>
          <w:rtl w:val="0"/>
        </w:rPr>
      </w:r>
    </w:p>
    <w:p w:rsidR="00000000" w:rsidDel="00000000" w:rsidP="00000000" w:rsidRDefault="00000000" w:rsidRPr="00000000" w14:paraId="00000006">
      <w:pPr>
        <w:spacing w:after="0" w:line="240" w:lineRule="auto"/>
        <w:ind w:right="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Total Marks: 60 marks </w:t>
      </w:r>
      <w:r w:rsidDel="00000000" w:rsidR="00000000" w:rsidRPr="00000000">
        <w:rPr>
          <w:rtl w:val="0"/>
        </w:rPr>
      </w:r>
    </w:p>
    <w:p w:rsidR="00000000" w:rsidDel="00000000" w:rsidP="00000000" w:rsidRDefault="00000000" w:rsidRPr="00000000" w14:paraId="00000007">
      <w:pPr>
        <w:tabs>
          <w:tab w:val="left" w:leader="none" w:pos="709"/>
        </w:tabs>
        <w:spacing w:after="74" w:line="240" w:lineRule="auto"/>
        <w:ind w:left="-284"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Note:</w:t>
      </w:r>
      <w:r w:rsidDel="00000000" w:rsidR="00000000" w:rsidRPr="00000000">
        <w:rPr>
          <w:rtl w:val="0"/>
        </w:rPr>
      </w:r>
    </w:p>
    <w:p w:rsidR="00000000" w:rsidDel="00000000" w:rsidP="00000000" w:rsidRDefault="00000000" w:rsidRPr="00000000" w14:paraId="00000008">
      <w:pPr>
        <w:tabs>
          <w:tab w:val="left" w:leader="none" w:pos="284"/>
          <w:tab w:val="left" w:leader="none" w:pos="426"/>
          <w:tab w:val="left" w:leader="none" w:pos="709"/>
        </w:tabs>
        <w:spacing w:after="74" w:line="240" w:lineRule="auto"/>
        <w:ind w:left="-284"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1) The candidate has option to either attempt question 4A or question 4B.                  </w:t>
        <w:br w:type="textWrapping"/>
        <w:t xml:space="preserve">                   Rest all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questions are mandatory.</w:t>
      </w:r>
      <w:r w:rsidDel="00000000" w:rsidR="00000000" w:rsidRPr="00000000">
        <w:rPr>
          <w:rtl w:val="0"/>
        </w:rPr>
      </w:r>
    </w:p>
    <w:p w:rsidR="00000000" w:rsidDel="00000000" w:rsidP="00000000" w:rsidRDefault="00000000" w:rsidRPr="00000000" w14:paraId="00000009">
      <w:pPr>
        <w:tabs>
          <w:tab w:val="left" w:leader="none" w:pos="284"/>
          <w:tab w:val="left" w:leader="none" w:pos="426"/>
          <w:tab w:val="left" w:leader="none" w:pos="709"/>
        </w:tabs>
        <w:spacing w:after="74" w:line="240" w:lineRule="auto"/>
        <w:ind w:left="-284"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2) Numbers to the right indicate full marks.</w:t>
      </w:r>
      <w:r w:rsidDel="00000000" w:rsidR="00000000" w:rsidRPr="00000000">
        <w:rPr>
          <w:rtl w:val="0"/>
        </w:rPr>
      </w:r>
    </w:p>
    <w:p w:rsidR="00000000" w:rsidDel="00000000" w:rsidP="00000000" w:rsidRDefault="00000000" w:rsidRPr="00000000" w14:paraId="0000000A">
      <w:pPr>
        <w:tabs>
          <w:tab w:val="left" w:leader="none" w:pos="284"/>
          <w:tab w:val="left" w:leader="none" w:pos="426"/>
          <w:tab w:val="left" w:leader="none" w:pos="709"/>
        </w:tabs>
        <w:spacing w:after="74" w:line="240" w:lineRule="auto"/>
        <w:ind w:left="-284"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3) The candidates should only write the option alphabet for answers in case </w:t>
        <w:br w:type="textWrapping"/>
        <w:t xml:space="preserve">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MCQ based questions.</w:t>
      </w:r>
      <w:r w:rsidDel="00000000" w:rsidR="00000000" w:rsidRPr="00000000">
        <w:rPr>
          <w:rtl w:val="0"/>
        </w:rPr>
      </w:r>
    </w:p>
    <w:p w:rsidR="00000000" w:rsidDel="00000000" w:rsidP="00000000" w:rsidRDefault="00000000" w:rsidRPr="00000000" w14:paraId="0000000B">
      <w:pPr>
        <w:tabs>
          <w:tab w:val="left" w:leader="none" w:pos="284"/>
          <w:tab w:val="left" w:leader="none" w:pos="426"/>
          <w:tab w:val="left" w:leader="none" w:pos="709"/>
        </w:tabs>
        <w:spacing w:after="74" w:line="240" w:lineRule="auto"/>
        <w:ind w:left="-284"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4) Use of approved scientific calculator is allowed.</w:t>
        <w:br w:type="textWrapping"/>
      </w:r>
      <w:r w:rsidDel="00000000" w:rsidR="00000000" w:rsidRPr="00000000">
        <w:rPr>
          <w:rtl w:val="0"/>
        </w:rPr>
      </w:r>
    </w:p>
    <w:p w:rsidR="00000000" w:rsidDel="00000000" w:rsidP="00000000" w:rsidRDefault="00000000" w:rsidRPr="00000000" w14:paraId="0000000C">
      <w:pPr>
        <w:spacing w:after="74" w:line="240" w:lineRule="auto"/>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Q1. Multiple choice Questions (1.5 marks each)      </w:t>
        <w:tab/>
        <w:tab/>
        <w:t xml:space="preserve">      </w:t>
        <w:tab/>
        <w:t xml:space="preserve">       15 Marks</w:t>
      </w:r>
      <w:r w:rsidDel="00000000" w:rsidR="00000000" w:rsidRPr="00000000">
        <w:rPr>
          <w:rtl w:val="0"/>
        </w:rPr>
      </w:r>
    </w:p>
    <w:p w:rsidR="00000000" w:rsidDel="00000000" w:rsidP="00000000" w:rsidRDefault="00000000" w:rsidRPr="00000000" w14:paraId="0000000D">
      <w:pPr>
        <w:spacing w:after="60" w:lineRule="auto"/>
        <w:ind w:left="426" w:hanging="360"/>
        <w:jc w:val="both"/>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Which of the following is a financial advantage of choosing a partnership over a sole proprietorship?</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pacing w:after="0"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Partnerships always generate higher profits.</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Partnerships can pool resources and share financial burdens.</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Partnerships have no liability for business debts.</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60"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Sole proprietorships cannot obtain external funding.</w:t>
      </w:r>
    </w:p>
    <w:p w:rsidR="00000000" w:rsidDel="00000000" w:rsidP="00000000" w:rsidRDefault="00000000" w:rsidRPr="00000000" w14:paraId="00000013">
      <w:pPr>
        <w:spacing w:after="6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If a company has an equity of INR 500,000, a debt of INR 300,000, and assets totalling INR 1,000,000, what is its debt-to-equity ratio?</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1.67</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w:t>
      </w:r>
    </w:p>
    <w:p w:rsidR="00000000" w:rsidDel="00000000" w:rsidP="00000000" w:rsidRDefault="00000000" w:rsidRPr="00000000" w14:paraId="00000019">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When managing short-term financing needs, companies often weigh the benefits of trade credit against short-term loans. Consider the following statements about trade credit:</w:t>
      </w:r>
    </w:p>
    <w:p w:rsidR="00000000" w:rsidDel="00000000" w:rsidP="00000000" w:rsidRDefault="00000000" w:rsidRPr="00000000" w14:paraId="0000001B">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Trade credit doesn't usually require explicit interest payments, unlike short-term loans</w:t>
      </w:r>
    </w:p>
    <w:p w:rsidR="00000000" w:rsidDel="00000000" w:rsidP="00000000" w:rsidRDefault="00000000" w:rsidRPr="00000000" w14:paraId="0000001C">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Using trade credit can enhance business relationships with suppliers, fostering mutual growth.</w:t>
      </w:r>
    </w:p>
    <w:p w:rsidR="00000000" w:rsidDel="00000000" w:rsidP="00000000" w:rsidRDefault="00000000" w:rsidRPr="00000000" w14:paraId="0000001D">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Trade credit doesn't typically require collateral, unlike some short-term loans.</w:t>
      </w:r>
    </w:p>
    <w:p w:rsidR="00000000" w:rsidDel="00000000" w:rsidP="00000000" w:rsidRDefault="00000000" w:rsidRPr="00000000" w14:paraId="0000001E">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of the above statements accurately highlight reasons a company might prefer trade credit over a short-term loan for immediate financing?</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I is correct</w:t>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three are correct.</w:t>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II is correct.</w:t>
      </w:r>
    </w:p>
    <w:p w:rsidR="00000000" w:rsidDel="00000000" w:rsidP="00000000" w:rsidRDefault="00000000" w:rsidRPr="00000000" w14:paraId="00000022">
      <w:pPr>
        <w:numPr>
          <w:ilvl w:val="0"/>
          <w:numId w:val="9"/>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I and II are correct.</w:t>
      </w:r>
    </w:p>
    <w:p w:rsidR="00000000" w:rsidDel="00000000" w:rsidP="00000000" w:rsidRDefault="00000000" w:rsidRPr="00000000" w14:paraId="00000023">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4. Which of the following is a primary financial advantage of choosing a private limited company over a </w:t>
        <w:br w:type="textWrapping"/>
        <w:t xml:space="preserve">    partnership?</w:t>
      </w:r>
    </w:p>
    <w:p w:rsidR="00000000" w:rsidDel="00000000" w:rsidP="00000000" w:rsidRDefault="00000000" w:rsidRPr="00000000" w14:paraId="00000024">
      <w:pPr>
        <w:numPr>
          <w:ilvl w:val="0"/>
          <w:numId w:val="11"/>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Private limited companies always have higher profitability.</w:t>
      </w:r>
    </w:p>
    <w:p w:rsidR="00000000" w:rsidDel="00000000" w:rsidP="00000000" w:rsidRDefault="00000000" w:rsidRPr="00000000" w14:paraId="00000025">
      <w:pPr>
        <w:numPr>
          <w:ilvl w:val="0"/>
          <w:numId w:val="11"/>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Private limited companies can raise capital more easily through equity shares.</w:t>
      </w:r>
    </w:p>
    <w:p w:rsidR="00000000" w:rsidDel="00000000" w:rsidP="00000000" w:rsidRDefault="00000000" w:rsidRPr="00000000" w14:paraId="00000026">
      <w:pPr>
        <w:numPr>
          <w:ilvl w:val="0"/>
          <w:numId w:val="11"/>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Partnerships have a higher tax rate than private limited companies.</w:t>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Private limited companies have no liability for business debts.</w:t>
      </w:r>
    </w:p>
    <w:p w:rsidR="00000000" w:rsidDel="00000000" w:rsidP="00000000" w:rsidRDefault="00000000" w:rsidRPr="00000000" w14:paraId="00000028">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Which of the following financial instruments has the longest maturity?</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Commercial Paper</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Corporate Bond</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Certificate of Deposit</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have equal maturity.</w:t>
      </w:r>
    </w:p>
    <w:p w:rsidR="00000000" w:rsidDel="00000000" w:rsidP="00000000" w:rsidRDefault="00000000" w:rsidRPr="00000000" w14:paraId="0000002E">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In the context of corporate finance, what does the acronym 'ROE' stand for?</w:t>
      </w:r>
    </w:p>
    <w:p w:rsidR="00000000" w:rsidDel="00000000" w:rsidP="00000000" w:rsidRDefault="00000000" w:rsidRPr="00000000" w14:paraId="00000030">
      <w:pPr>
        <w:numPr>
          <w:ilvl w:val="0"/>
          <w:numId w:val="10"/>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Rate of Equity</w:t>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Return on Earnings</w:t>
      </w:r>
    </w:p>
    <w:p w:rsidR="00000000" w:rsidDel="00000000" w:rsidP="00000000" w:rsidRDefault="00000000" w:rsidRPr="00000000" w14:paraId="00000032">
      <w:pPr>
        <w:numPr>
          <w:ilvl w:val="0"/>
          <w:numId w:val="10"/>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Rate of Earnings</w:t>
      </w:r>
    </w:p>
    <w:p w:rsidR="00000000" w:rsidDel="00000000" w:rsidP="00000000" w:rsidRDefault="00000000" w:rsidRPr="00000000" w14:paraId="00000033">
      <w:pPr>
        <w:numPr>
          <w:ilvl w:val="0"/>
          <w:numId w:val="10"/>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Return on Equity</w:t>
      </w:r>
    </w:p>
    <w:p w:rsidR="00000000" w:rsidDel="00000000" w:rsidP="00000000" w:rsidRDefault="00000000" w:rsidRPr="00000000" w14:paraId="00000034">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Companies decide on their payout policies based on several factors. Which of the following are typical </w:t>
        <w:br w:type="textWrapping"/>
        <w:t xml:space="preserve">    considerations when determining payout policies?</w:t>
      </w:r>
    </w:p>
    <w:p w:rsidR="00000000" w:rsidDel="00000000" w:rsidP="00000000" w:rsidRDefault="00000000" w:rsidRPr="00000000" w14:paraId="00000036">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The company's current liquidity and cash flow position.</w:t>
      </w:r>
    </w:p>
    <w:p w:rsidR="00000000" w:rsidDel="00000000" w:rsidP="00000000" w:rsidRDefault="00000000" w:rsidRPr="00000000" w14:paraId="00000037">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The company's access to alternative sources of capital.</w:t>
      </w:r>
    </w:p>
    <w:p w:rsidR="00000000" w:rsidDel="00000000" w:rsidP="00000000" w:rsidRDefault="00000000" w:rsidRPr="00000000" w14:paraId="00000038">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Tax implications for shareholders receiving dividends.</w:t>
      </w:r>
    </w:p>
    <w:p w:rsidR="00000000" w:rsidDel="00000000" w:rsidP="00000000" w:rsidRDefault="00000000" w:rsidRPr="00000000" w14:paraId="00000039">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The CEO's personal preference for dividends over share repurchases.</w:t>
      </w:r>
    </w:p>
    <w:p w:rsidR="00000000" w:rsidDel="00000000" w:rsidP="00000000" w:rsidRDefault="00000000" w:rsidRPr="00000000" w14:paraId="0000003A">
      <w:pPr>
        <w:numPr>
          <w:ilvl w:val="0"/>
          <w:numId w:val="1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and II only</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II, and III only</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 III, and IV only</w:t>
      </w:r>
    </w:p>
    <w:p w:rsidR="00000000" w:rsidDel="00000000" w:rsidP="00000000" w:rsidRDefault="00000000" w:rsidRPr="00000000" w14:paraId="0000003D">
      <w:pPr>
        <w:numPr>
          <w:ilvl w:val="0"/>
          <w:numId w:val="12"/>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III and IV only</w:t>
      </w:r>
    </w:p>
    <w:p w:rsidR="00000000" w:rsidDel="00000000" w:rsidP="00000000" w:rsidRDefault="00000000" w:rsidRPr="00000000" w14:paraId="0000003E">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left" w:leader="none" w:pos="142"/>
          <w:tab w:val="left" w:leader="none" w:pos="28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Which of the following is NOT a characteristic of a bond?</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Maturity Date</w:t>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Coupon Rate</w:t>
      </w:r>
    </w:p>
    <w:p w:rsidR="00000000" w:rsidDel="00000000" w:rsidP="00000000" w:rsidRDefault="00000000" w:rsidRPr="00000000" w14:paraId="00000042">
      <w:pPr>
        <w:numPr>
          <w:ilvl w:val="0"/>
          <w:numId w:val="13"/>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Dividend Yield</w:t>
      </w:r>
    </w:p>
    <w:p w:rsidR="00000000" w:rsidDel="00000000" w:rsidP="00000000" w:rsidRDefault="00000000" w:rsidRPr="00000000" w14:paraId="00000043">
      <w:pPr>
        <w:numPr>
          <w:ilvl w:val="0"/>
          <w:numId w:val="13"/>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Face Value</w:t>
      </w:r>
    </w:p>
    <w:p w:rsidR="00000000" w:rsidDel="00000000" w:rsidP="00000000" w:rsidRDefault="00000000" w:rsidRPr="00000000" w14:paraId="00000044">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Which of the following best represents the residual ownership in a corporation?</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Debt Holders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Preferred Stockholders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Common Stockholders</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Employees</w:t>
      </w:r>
    </w:p>
    <w:p w:rsidR="00000000" w:rsidDel="00000000" w:rsidP="00000000" w:rsidRDefault="00000000" w:rsidRPr="00000000" w14:paraId="0000004A">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Which of the following is NOT directly shown on the income statement of a company?</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Revenue</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Depreciation</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Earnings before Tax</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tabs>
          <w:tab w:val="left" w:leader="none" w:pos="426"/>
        </w:tabs>
        <w:spacing w:after="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Accounts Receivable</w:t>
      </w:r>
    </w:p>
    <w:p w:rsidR="00000000" w:rsidDel="00000000" w:rsidP="00000000" w:rsidRDefault="00000000" w:rsidRPr="00000000" w14:paraId="00000050">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Q2 Answer the following </w:t>
        <w:tab/>
        <w:tab/>
        <w:tab/>
        <w:tab/>
        <w:tab/>
        <w:tab/>
        <w:tab/>
        <w:tab/>
        <w:t xml:space="preserve">     15 Marks.  </w:t>
      </w:r>
    </w:p>
    <w:p w:rsidR="00000000" w:rsidDel="00000000" w:rsidP="00000000" w:rsidRDefault="00000000" w:rsidRPr="00000000" w14:paraId="00000053">
      <w:pPr>
        <w:numPr>
          <w:ilvl w:val="0"/>
          <w:numId w:val="3"/>
        </w:numPr>
        <w:spacing w:after="60" w:lineRule="auto"/>
        <w:ind w:left="426"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tab/>
        <w:tab/>
        <w:tab/>
        <w:tab/>
        <w:tab/>
        <w:tab/>
        <w:tab/>
        <w:tab/>
        <w:t xml:space="preserve">  </w:t>
        <w:tab/>
        <w:t xml:space="preserve">                                  </w:t>
      </w:r>
      <w:r w:rsidDel="00000000" w:rsidR="00000000" w:rsidRPr="00000000">
        <w:rPr>
          <w:rFonts w:ascii="Times New Roman" w:cs="Times New Roman" w:eastAsia="Times New Roman" w:hAnsi="Times New Roman"/>
          <w:b w:val="1"/>
          <w:rtl w:val="0"/>
        </w:rPr>
        <w:t xml:space="preserve">5 Marks </w:t>
      </w:r>
    </w:p>
    <w:p w:rsidR="00000000" w:rsidDel="00000000" w:rsidP="00000000" w:rsidRDefault="00000000" w:rsidRPr="00000000" w14:paraId="00000054">
      <w:pPr>
        <w:spacing w:after="6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FreshBrew, a new coffee chain, is trying to establish its brand in a market dominated by giants. The founders are debating whether to prioritize short-term profitability or long-term growth.</w:t>
      </w:r>
    </w:p>
    <w:p w:rsidR="00000000" w:rsidDel="00000000" w:rsidP="00000000" w:rsidRDefault="00000000" w:rsidRPr="00000000" w14:paraId="00000055">
      <w:pPr>
        <w:spacing w:after="60" w:lineRule="auto"/>
        <w:ind w:left="426"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Discuss the financial implications of prioritizing short-term profitability over long-term growth for a startup like FreshBrew. How might this decision impact their brand positioning and market share in the future?                  </w:t>
        <w:tab/>
        <w:tab/>
        <w:tab/>
        <w:tab/>
        <w:tab/>
        <w:tab/>
        <w:tab/>
        <w:tab/>
        <w:t xml:space="preserve">         </w:t>
      </w:r>
      <w:r w:rsidDel="00000000" w:rsidR="00000000" w:rsidRPr="00000000">
        <w:rPr>
          <w:rtl w:val="0"/>
        </w:rPr>
      </w:r>
    </w:p>
    <w:p w:rsidR="00000000" w:rsidDel="00000000" w:rsidP="00000000" w:rsidRDefault="00000000" w:rsidRPr="00000000" w14:paraId="00000056">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3"/>
        </w:numPr>
        <w:spacing w:after="6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ab/>
        <w:tab/>
        <w:tab/>
        <w:tab/>
        <w:tab/>
        <w:tab/>
        <w:tab/>
        <w:tab/>
        <w:tab/>
        <w:t xml:space="preserve">                     5 Marks </w:t>
      </w:r>
      <w:r w:rsidDel="00000000" w:rsidR="00000000" w:rsidRPr="00000000">
        <w:rPr>
          <w:rtl w:val="0"/>
        </w:rPr>
      </w:r>
    </w:p>
    <w:p w:rsidR="00000000" w:rsidDel="00000000" w:rsidP="00000000" w:rsidRDefault="00000000" w:rsidRPr="00000000" w14:paraId="00000058">
      <w:pPr>
        <w:spacing w:after="6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TechGuard, a cybersecurity firm, currently operates as a sole proprietorship. As they expand their client base, they're considering transitioning to a more formal business structure.</w:t>
      </w:r>
    </w:p>
    <w:p w:rsidR="00000000" w:rsidDel="00000000" w:rsidP="00000000" w:rsidRDefault="00000000" w:rsidRPr="00000000" w14:paraId="00000059">
      <w:pPr>
        <w:spacing w:after="6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the potential financial benefits and challenges TechGuard might face if they transition from a sole proprietorship to a corporation.                </w:t>
        <w:tab/>
        <w:tab/>
        <w:tab/>
        <w:tab/>
        <w:tab/>
        <w:t xml:space="preserve">         </w:t>
      </w:r>
    </w:p>
    <w:p w:rsidR="00000000" w:rsidDel="00000000" w:rsidP="00000000" w:rsidRDefault="00000000" w:rsidRPr="00000000" w14:paraId="0000005A">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3"/>
        </w:numPr>
        <w:spacing w:after="60" w:lineRule="auto"/>
        <w:ind w:left="426" w:hanging="36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                                                   </w:t>
        <w:tab/>
        <w:tab/>
        <w:tab/>
        <w:tab/>
        <w:tab/>
        <w:tab/>
        <w:tab/>
        <w:t xml:space="preserve">        </w:t>
      </w:r>
      <w:r w:rsidDel="00000000" w:rsidR="00000000" w:rsidRPr="00000000">
        <w:rPr>
          <w:rFonts w:ascii="Times New Roman" w:cs="Times New Roman" w:eastAsia="Times New Roman" w:hAnsi="Times New Roman"/>
          <w:b w:val="1"/>
          <w:rtl w:val="0"/>
        </w:rPr>
        <w:t xml:space="preserve">5 Marks</w:t>
      </w:r>
      <w:r w:rsidDel="00000000" w:rsidR="00000000" w:rsidRPr="00000000">
        <w:rPr>
          <w:rFonts w:ascii="Times New Roman" w:cs="Times New Roman" w:eastAsia="Times New Roman" w:hAnsi="Times New Roman"/>
          <w:rtl w:val="0"/>
        </w:rPr>
        <w:t xml:space="preserve">  </w:t>
        <w:br w:type="textWrapping"/>
        <w:t xml:space="preserve">Define cash cycle. State the formula of Cash cycle and also all the related terms used in the formula. </w:t>
      </w:r>
    </w:p>
    <w:p w:rsidR="00000000" w:rsidDel="00000000" w:rsidP="00000000" w:rsidRDefault="00000000" w:rsidRPr="00000000" w14:paraId="0000005C">
      <w:pPr>
        <w:spacing w:after="6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Q3 Answer the following </w:t>
        <w:tab/>
        <w:tab/>
        <w:tab/>
        <w:tab/>
        <w:tab/>
        <w:tab/>
        <w:tab/>
        <w:tab/>
        <w:t xml:space="preserve">     15 Marks.</w:t>
      </w:r>
      <w:r w:rsidDel="00000000" w:rsidR="00000000" w:rsidRPr="00000000">
        <w:rPr>
          <w:rtl w:val="0"/>
        </w:rPr>
      </w:r>
    </w:p>
    <w:p w:rsidR="00000000" w:rsidDel="00000000" w:rsidP="00000000" w:rsidRDefault="00000000" w:rsidRPr="00000000" w14:paraId="0000005F">
      <w:pPr>
        <w:numPr>
          <w:ilvl w:val="0"/>
          <w:numId w:val="4"/>
        </w:numPr>
        <w:spacing w:after="6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ab/>
        <w:t xml:space="preserve">                     </w:t>
      </w:r>
      <w:r w:rsidDel="00000000" w:rsidR="00000000" w:rsidRPr="00000000">
        <w:rPr>
          <w:rFonts w:ascii="Times New Roman" w:cs="Times New Roman" w:eastAsia="Times New Roman" w:hAnsi="Times New Roman"/>
          <w:b w:val="1"/>
          <w:rtl w:val="0"/>
        </w:rPr>
        <w:t xml:space="preserve">5 Marks</w:t>
      </w:r>
      <w:r w:rsidDel="00000000" w:rsidR="00000000" w:rsidRPr="00000000">
        <w:rPr>
          <w:rtl w:val="0"/>
        </w:rPr>
      </w:r>
    </w:p>
    <w:p w:rsidR="00000000" w:rsidDel="00000000" w:rsidP="00000000" w:rsidRDefault="00000000" w:rsidRPr="00000000" w14:paraId="00000060">
      <w:pPr>
        <w:spacing w:after="60" w:lineRule="auto"/>
        <w:ind w:left="426"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Differentiate between a Limited Liability Partnership (LLP) and a Private Limited Company in terms of liability, ownership structure, and taxation.       </w:t>
        <w:tab/>
        <w:tab/>
        <w:tab/>
        <w:tab/>
        <w:tab/>
        <w:t xml:space="preserve">         </w:t>
      </w:r>
      <w:r w:rsidDel="00000000" w:rsidR="00000000" w:rsidRPr="00000000">
        <w:rPr>
          <w:rtl w:val="0"/>
        </w:rPr>
      </w:r>
    </w:p>
    <w:p w:rsidR="00000000" w:rsidDel="00000000" w:rsidP="00000000" w:rsidRDefault="00000000" w:rsidRPr="00000000" w14:paraId="00000061">
      <w:pPr>
        <w:spacing w:after="6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tab/>
        <w:tab/>
        <w:tab/>
        <w:tab/>
        <w:tab/>
        <w:tab/>
        <w:tab/>
        <w:tab/>
        <w:tab/>
        <w:tab/>
        <w:t xml:space="preserve">        5 Marks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42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AutoMoto, a car manufacturing company, has traditionally maintained a low debt-to-equity ratio. However, with ambitious plans for launching electric vehicles, they're considering taking on more debt to finance their R&amp;D.</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6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Evaluate the potential risks and benefits of AutoMoto increasing its financial leverage. How might this decision influence the company's cost of capital and its attractiveness to investors?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65">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60" w:lineRule="auto"/>
        <w:ind w:left="426" w:hanging="42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5 Marks</w:t>
      </w:r>
      <w:r w:rsidDel="00000000" w:rsidR="00000000" w:rsidRPr="00000000">
        <w:rPr>
          <w:rFonts w:ascii="Times New Roman" w:cs="Times New Roman" w:eastAsia="Times New Roman" w:hAnsi="Times New Roman"/>
          <w:color w:val="000000"/>
          <w:rtl w:val="0"/>
        </w:rPr>
        <w:t xml:space="preserve">  </w:t>
        <w:br w:type="textWrapping"/>
        <w:t xml:space="preserve">Datasutram a data analytics startup company is looking for more funds for expansion purpose. They have appointed you to briefly explain the differences between equity financing and debt financing by highlighting the advantages and disadvantages of each, especially in the context of a startup seeking rapid expansion. </w:t>
        <w:tab/>
        <w:tab/>
        <w:tab/>
        <w:tab/>
        <w:tab/>
        <w:tab/>
        <w:tab/>
        <w:tab/>
        <w:t xml:space="preserve">         </w:t>
      </w:r>
    </w:p>
    <w:p w:rsidR="00000000" w:rsidDel="00000000" w:rsidP="00000000" w:rsidRDefault="00000000" w:rsidRPr="00000000" w14:paraId="00000067">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Q4 </w:t>
      </w:r>
      <w:r w:rsidDel="00000000" w:rsidR="00000000" w:rsidRPr="00000000">
        <w:rPr>
          <w:rFonts w:ascii="Times New Roman" w:cs="Times New Roman" w:eastAsia="Times New Roman" w:hAnsi="Times New Roman"/>
          <w:b w:val="1"/>
          <w:color w:val="000000"/>
          <w:sz w:val="24"/>
          <w:szCs w:val="24"/>
          <w:rtl w:val="0"/>
        </w:rPr>
        <w:t xml:space="preserve">Attempt question 4A or question 4B 15 Marks </w:t>
      </w:r>
      <w:r w:rsidDel="00000000" w:rsidR="00000000" w:rsidRPr="00000000">
        <w:rPr>
          <w:rFonts w:ascii="Times New Roman" w:cs="Times New Roman" w:eastAsia="Times New Roman" w:hAnsi="Times New Roman"/>
          <w:b w:val="1"/>
          <w:rtl w:val="0"/>
        </w:rPr>
        <w:br w:type="textWrapping"/>
        <w:t xml:space="preserve">A) </w:t>
        <w:tab/>
        <w:tab/>
        <w:tab/>
        <w:tab/>
        <w:tab/>
        <w:tab/>
        <w:tab/>
        <w:tab/>
        <w:tab/>
        <w:tab/>
        <w:tab/>
        <w:t xml:space="preserve">     15  Marks </w:t>
      </w:r>
    </w:p>
    <w:p w:rsidR="00000000" w:rsidDel="00000000" w:rsidP="00000000" w:rsidRDefault="00000000" w:rsidRPr="00000000" w14:paraId="00000071">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TechNova, a leading tech company, is considering the acquisition of ByteSoft, a startup with innovative cloud solutions. The acquisition is expected to provide TechNova with strategic advantages in the cloud market.</w:t>
      </w:r>
    </w:p>
    <w:p w:rsidR="00000000" w:rsidDel="00000000" w:rsidP="00000000" w:rsidRDefault="00000000" w:rsidRPr="00000000" w14:paraId="00000072">
      <w:pPr>
        <w:spacing w:after="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Discuss the potential synergies TechNova might achieve from this acquisition. </w:t>
        <w:tab/>
        <w:tab/>
        <w:t xml:space="preserve">     (5)</w:t>
      </w:r>
      <w:r w:rsidDel="00000000" w:rsidR="00000000" w:rsidRPr="00000000">
        <w:rPr>
          <w:rtl w:val="0"/>
        </w:rPr>
      </w:r>
    </w:p>
    <w:p w:rsidR="00000000" w:rsidDel="00000000" w:rsidP="00000000" w:rsidRDefault="00000000" w:rsidRPr="00000000" w14:paraId="00000073">
      <w:pPr>
        <w:spacing w:after="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 Analyze the possible financial risks associated with this acquisition. </w:t>
        <w:tab/>
        <w:tab/>
        <w:tab/>
        <w:tab/>
        <w:t xml:space="preserve">     (5)</w:t>
      </w:r>
      <w:r w:rsidDel="00000000" w:rsidR="00000000" w:rsidRPr="00000000">
        <w:rPr>
          <w:rtl w:val="0"/>
        </w:rPr>
      </w:r>
    </w:p>
    <w:p w:rsidR="00000000" w:rsidDel="00000000" w:rsidP="00000000" w:rsidRDefault="00000000" w:rsidRPr="00000000" w14:paraId="00000074">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How should TechNova finance this acquisition to minimize dilution for its existing shareholders?  (5)          </w:t>
      </w:r>
    </w:p>
    <w:p w:rsidR="00000000" w:rsidDel="00000000" w:rsidP="00000000" w:rsidRDefault="00000000" w:rsidRPr="00000000" w14:paraId="00000075">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60" w:lineRule="auto"/>
        <w:ind w:left="43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w:t>
        <w:br w:type="textWrapping"/>
      </w:r>
    </w:p>
    <w:p w:rsidR="00000000" w:rsidDel="00000000" w:rsidP="00000000" w:rsidRDefault="00000000" w:rsidRPr="00000000" w14:paraId="00000077">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tab/>
        <w:tab/>
        <w:tab/>
        <w:tab/>
        <w:tab/>
        <w:tab/>
        <w:tab/>
        <w:tab/>
        <w:tab/>
        <w:tab/>
        <w:tab/>
        <w:t xml:space="preserve">      15 Marks </w:t>
      </w:r>
      <w:r w:rsidDel="00000000" w:rsidR="00000000" w:rsidRPr="00000000">
        <w:rPr>
          <w:rtl w:val="0"/>
        </w:rPr>
      </w:r>
    </w:p>
    <w:p w:rsidR="00000000" w:rsidDel="00000000" w:rsidP="00000000" w:rsidRDefault="00000000" w:rsidRPr="00000000" w14:paraId="00000078">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EduHub, an ed-tech startup, is exploring various financing options to fund its expansion into international markets.</w:t>
      </w:r>
    </w:p>
    <w:p w:rsidR="00000000" w:rsidDel="00000000" w:rsidP="00000000" w:rsidRDefault="00000000" w:rsidRPr="00000000" w14:paraId="00000079">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Compare and contrast venture capital and angel investment as potential sources of finance for EduHub.  </w:t>
      </w:r>
    </w:p>
    <w:p w:rsidR="00000000" w:rsidDel="00000000" w:rsidP="00000000" w:rsidRDefault="00000000" w:rsidRPr="00000000" w14:paraId="0000007A">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 xml:space="preserve">     (5)                                                                                                                                                                                               </w:t>
      </w:r>
    </w:p>
    <w:p w:rsidR="00000000" w:rsidDel="00000000" w:rsidP="00000000" w:rsidRDefault="00000000" w:rsidRPr="00000000" w14:paraId="0000007B">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Discuss the implications of taking on significant debt for international expansion. </w:t>
        <w:tab/>
        <w:tab/>
        <w:t xml:space="preserve">     (5)</w:t>
      </w:r>
    </w:p>
    <w:p w:rsidR="00000000" w:rsidDel="00000000" w:rsidP="00000000" w:rsidRDefault="00000000" w:rsidRPr="00000000" w14:paraId="0000007C">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How can EduHub balance its capital structure to ensure financial stability while pursuing aggressive growth? </w:t>
        <w:tab/>
        <w:tab/>
        <w:tab/>
        <w:tab/>
        <w:tab/>
        <w:tab/>
        <w:tab/>
        <w:tab/>
        <w:tab/>
        <w:tab/>
        <w:tab/>
        <w:t xml:space="preserve">     (5)</w:t>
      </w:r>
    </w:p>
    <w:p w:rsidR="00000000" w:rsidDel="00000000" w:rsidP="00000000" w:rsidRDefault="00000000" w:rsidRPr="00000000" w14:paraId="0000007E">
      <w:pPr>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60" w:lineRule="auto"/>
        <w:jc w:val="both"/>
        <w:rPr>
          <w:rFonts w:ascii="Times New Roman" w:cs="Times New Roman" w:eastAsia="Times New Roman" w:hAnsi="Times New Roman"/>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418"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4</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3" style="position:absolute;width:675.0pt;height:61.5pt;rotation:315;z-index:-503316481;mso-position-horizontal-relative:margin;mso-position-horizontal:center;mso-position-vertical-relative:margin;mso-position-vertical:center;" fillcolor="#c0c0c0" stroked="f" type="#_x0000_t136">
          <v:fill angle="0" opacity="32768f"/>
          <v:textpath fitshape="t" string="PATKAR VARDE COLLEGE" style="font-family:&amp;quot;Times New Roman&amp;quot;;font-size:54.0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1" style="position:absolute;width:675.0pt;height:61.5pt;rotation:315;z-index:-503316481;mso-position-horizontal-relative:margin;mso-position-horizontal:center;mso-position-vertical-relative:margin;mso-position-vertical:center;" fillcolor="#c0c0c0" stroked="f" type="#_x0000_t136">
          <v:fill angle="0" opacity="32768f"/>
          <v:textpath fitshape="t" string="PATKAR VARDE COLLEGE" style="font-family:&amp;quot;Times New Roman&amp;quot;;font-size:54.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2" style="position:absolute;width:675.0pt;height:61.5pt;rotation:315;z-index:-503316481;mso-position-horizontal-relative:margin;mso-position-horizontal:center;mso-position-vertical-relative:margin;mso-position-vertical:center;" fillcolor="#c0c0c0" stroked="f" type="#_x0000_t136">
          <v:fill angle="0" opacity="32768f"/>
          <v:textpath fitshape="t" string="PATKAR VARDE COLLEGE" style="font-family:&amp;quot;Times New Roman&amp;quot;;font-size:54.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upperLetter"/>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4080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2A411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76497"/>
    <w:pPr>
      <w:ind w:left="720"/>
      <w:contextualSpacing w:val="1"/>
    </w:pPr>
  </w:style>
  <w:style w:type="paragraph" w:styleId="NormalWeb">
    <w:name w:val="Normal (Web)"/>
    <w:basedOn w:val="Normal"/>
    <w:uiPriority w:val="99"/>
    <w:semiHidden w:val="1"/>
    <w:unhideWhenUsed w:val="1"/>
    <w:rsid w:val="00867AD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6D60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6016"/>
  </w:style>
  <w:style w:type="paragraph" w:styleId="Footer">
    <w:name w:val="footer"/>
    <w:basedOn w:val="Normal"/>
    <w:link w:val="FooterChar"/>
    <w:uiPriority w:val="99"/>
    <w:unhideWhenUsed w:val="1"/>
    <w:rsid w:val="006D60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601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NivgigRaQ5hvg8kZfKBDpIXNw==">CgMxLjAyCGguZ2pkZ3hzOAByITFZTV9BUFQtUk9nNnR3RGV1VTdBRFNRVTc1dEVoS3pKQw==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2023-10-21T04:53:00Z</dcterms:created>
  <dc:creator>SS</dc:creator>
</cp:coreProperties>
</file>