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0790" w14:textId="77777777" w:rsidR="00FE16A6" w:rsidRPr="00FE16A6" w:rsidRDefault="00FE16A6" w:rsidP="00FE16A6">
      <w:pPr>
        <w:pStyle w:val="ListParagraph"/>
        <w:numPr>
          <w:ilvl w:val="0"/>
          <w:numId w:val="1"/>
        </w:numPr>
        <w:rPr>
          <w:rFonts w:cstheme="minorHAnsi"/>
          <w:sz w:val="24"/>
          <w:szCs w:val="24"/>
        </w:rPr>
      </w:pPr>
      <w:r w:rsidRPr="00FE16A6">
        <w:rPr>
          <w:rFonts w:cstheme="minorHAnsi"/>
          <w:sz w:val="24"/>
          <w:szCs w:val="24"/>
        </w:rPr>
        <w:t>(c) Earned Premium</w:t>
      </w:r>
    </w:p>
    <w:p w14:paraId="6CD7D988" w14:textId="77777777" w:rsidR="00FE16A6" w:rsidRPr="00FE16A6" w:rsidRDefault="00FE16A6" w:rsidP="00FE16A6">
      <w:pPr>
        <w:pStyle w:val="ListParagraph"/>
        <w:rPr>
          <w:rFonts w:cstheme="minorHAnsi"/>
          <w:sz w:val="24"/>
          <w:szCs w:val="24"/>
        </w:rPr>
      </w:pPr>
    </w:p>
    <w:p w14:paraId="2FC1156B" w14:textId="77777777" w:rsidR="00FE16A6" w:rsidRPr="00FE16A6" w:rsidRDefault="00FE16A6" w:rsidP="00FE16A6">
      <w:pPr>
        <w:pStyle w:val="ListParagraph"/>
        <w:numPr>
          <w:ilvl w:val="0"/>
          <w:numId w:val="1"/>
        </w:numPr>
        <w:rPr>
          <w:rFonts w:cstheme="minorHAnsi"/>
          <w:sz w:val="24"/>
          <w:szCs w:val="24"/>
        </w:rPr>
      </w:pPr>
      <w:r w:rsidRPr="00FE16A6">
        <w:rPr>
          <w:rFonts w:cstheme="minorHAnsi"/>
          <w:sz w:val="24"/>
          <w:szCs w:val="24"/>
        </w:rPr>
        <w:t>(a) The reinsurer and the reinsured’s share of the claim is proportionate.</w:t>
      </w:r>
    </w:p>
    <w:p w14:paraId="1D5F69A3" w14:textId="77777777" w:rsidR="00FE16A6" w:rsidRPr="00FE16A6" w:rsidRDefault="00FE16A6" w:rsidP="00FE16A6">
      <w:pPr>
        <w:pStyle w:val="ListParagraph"/>
        <w:rPr>
          <w:rFonts w:cstheme="minorHAnsi"/>
          <w:sz w:val="24"/>
          <w:szCs w:val="24"/>
        </w:rPr>
      </w:pPr>
    </w:p>
    <w:p w14:paraId="70645BCB" w14:textId="77777777" w:rsidR="00FE16A6" w:rsidRPr="00FE16A6" w:rsidRDefault="00FE16A6" w:rsidP="00FE16A6">
      <w:pPr>
        <w:pStyle w:val="ListParagraph"/>
        <w:numPr>
          <w:ilvl w:val="0"/>
          <w:numId w:val="1"/>
        </w:numPr>
        <w:rPr>
          <w:rFonts w:cstheme="minorHAnsi"/>
          <w:sz w:val="24"/>
          <w:szCs w:val="24"/>
        </w:rPr>
      </w:pPr>
      <w:r w:rsidRPr="00FE16A6">
        <w:rPr>
          <w:rFonts w:cstheme="minorHAnsi"/>
          <w:sz w:val="24"/>
          <w:szCs w:val="24"/>
        </w:rPr>
        <w:t>(a) True</w:t>
      </w:r>
    </w:p>
    <w:p w14:paraId="552262D2" w14:textId="77777777" w:rsidR="00FE16A6" w:rsidRPr="00FE16A6" w:rsidRDefault="00FE16A6" w:rsidP="00FE16A6">
      <w:pPr>
        <w:pStyle w:val="ListParagraph"/>
        <w:rPr>
          <w:rFonts w:cstheme="minorHAnsi"/>
          <w:sz w:val="24"/>
          <w:szCs w:val="24"/>
        </w:rPr>
      </w:pPr>
    </w:p>
    <w:p w14:paraId="2335F7AB" w14:textId="77777777" w:rsidR="00FE16A6" w:rsidRPr="00FE16A6" w:rsidRDefault="00FE16A6" w:rsidP="00FE16A6">
      <w:pPr>
        <w:pStyle w:val="ListParagraph"/>
        <w:numPr>
          <w:ilvl w:val="0"/>
          <w:numId w:val="1"/>
        </w:numPr>
        <w:rPr>
          <w:rFonts w:cstheme="minorHAnsi"/>
          <w:sz w:val="24"/>
          <w:szCs w:val="24"/>
        </w:rPr>
      </w:pPr>
      <w:r w:rsidRPr="00FE16A6">
        <w:rPr>
          <w:rFonts w:cstheme="minorHAnsi"/>
          <w:sz w:val="24"/>
          <w:szCs w:val="24"/>
        </w:rPr>
        <w:t>(b) False</w:t>
      </w:r>
    </w:p>
    <w:p w14:paraId="686B2BBE" w14:textId="77777777" w:rsidR="00FE16A6" w:rsidRPr="00FE16A6" w:rsidRDefault="00FE16A6" w:rsidP="00FE16A6">
      <w:pPr>
        <w:pStyle w:val="ListParagraph"/>
        <w:rPr>
          <w:rFonts w:cstheme="minorHAnsi"/>
          <w:sz w:val="24"/>
          <w:szCs w:val="24"/>
        </w:rPr>
      </w:pPr>
    </w:p>
    <w:p w14:paraId="727A02F1" w14:textId="77777777" w:rsidR="00FE16A6" w:rsidRPr="00FE16A6" w:rsidRDefault="00FE16A6" w:rsidP="00FE16A6">
      <w:pPr>
        <w:pStyle w:val="ListParagraph"/>
        <w:numPr>
          <w:ilvl w:val="0"/>
          <w:numId w:val="1"/>
        </w:numPr>
        <w:rPr>
          <w:rFonts w:cstheme="minorHAnsi"/>
          <w:sz w:val="24"/>
          <w:szCs w:val="24"/>
        </w:rPr>
      </w:pPr>
      <w:r w:rsidRPr="00FE16A6">
        <w:rPr>
          <w:rFonts w:cstheme="minorHAnsi"/>
          <w:sz w:val="24"/>
          <w:szCs w:val="24"/>
        </w:rPr>
        <w:t>(a) True</w:t>
      </w:r>
    </w:p>
    <w:p w14:paraId="4DCFDF78" w14:textId="77777777" w:rsidR="00FE16A6" w:rsidRPr="00FE16A6" w:rsidRDefault="00FE16A6" w:rsidP="00FE16A6">
      <w:pPr>
        <w:pStyle w:val="ListParagraph"/>
        <w:rPr>
          <w:rFonts w:cstheme="minorHAnsi"/>
          <w:sz w:val="24"/>
          <w:szCs w:val="24"/>
        </w:rPr>
      </w:pPr>
    </w:p>
    <w:p w14:paraId="3ABCEB9D" w14:textId="77777777" w:rsidR="00FE16A6" w:rsidRPr="00FE16A6" w:rsidRDefault="00FE16A6" w:rsidP="00FE16A6">
      <w:pPr>
        <w:pStyle w:val="ListParagraph"/>
        <w:numPr>
          <w:ilvl w:val="0"/>
          <w:numId w:val="1"/>
        </w:numPr>
        <w:rPr>
          <w:rFonts w:cstheme="minorHAnsi"/>
          <w:sz w:val="24"/>
          <w:szCs w:val="24"/>
        </w:rPr>
      </w:pPr>
      <w:r w:rsidRPr="00FE16A6">
        <w:rPr>
          <w:rFonts w:cstheme="minorHAnsi"/>
          <w:sz w:val="24"/>
          <w:szCs w:val="24"/>
        </w:rPr>
        <w:t>Reinsurance- a form of insurance purchased by insurance companies in order to mitigate risk. With reinsurance, the company distributes some part of its own insurance liabilities to the reinsurers.  Types of Reinsurance-</w:t>
      </w:r>
    </w:p>
    <w:p w14:paraId="7CA7CAE3" w14:textId="77777777" w:rsidR="00FE16A6" w:rsidRPr="00FE16A6" w:rsidRDefault="00FE16A6" w:rsidP="00FE16A6">
      <w:pPr>
        <w:pStyle w:val="ListParagraph"/>
        <w:rPr>
          <w:rFonts w:cstheme="minorHAnsi"/>
          <w:sz w:val="24"/>
          <w:szCs w:val="24"/>
        </w:rPr>
      </w:pPr>
    </w:p>
    <w:p w14:paraId="4C1F5309" w14:textId="77777777" w:rsidR="00FE16A6" w:rsidRPr="00FE16A6" w:rsidRDefault="00FE16A6" w:rsidP="00FE16A6">
      <w:pPr>
        <w:pStyle w:val="ListParagraph"/>
        <w:numPr>
          <w:ilvl w:val="1"/>
          <w:numId w:val="1"/>
        </w:numPr>
        <w:rPr>
          <w:rFonts w:cstheme="minorHAnsi"/>
          <w:sz w:val="24"/>
          <w:szCs w:val="24"/>
        </w:rPr>
      </w:pPr>
      <w:r w:rsidRPr="00FE16A6">
        <w:rPr>
          <w:rFonts w:cstheme="minorHAnsi"/>
          <w:sz w:val="24"/>
          <w:szCs w:val="24"/>
        </w:rPr>
        <w:t>Proportional Reinsurance- The insurer and the reinsurer share the costs of all claims. Proportional reinsurance is further divided into-</w:t>
      </w:r>
    </w:p>
    <w:p w14:paraId="68C161C0" w14:textId="77777777" w:rsidR="00FE16A6" w:rsidRPr="00FE16A6" w:rsidRDefault="00FE16A6" w:rsidP="00FE16A6">
      <w:pPr>
        <w:pStyle w:val="ListParagraph"/>
        <w:numPr>
          <w:ilvl w:val="2"/>
          <w:numId w:val="1"/>
        </w:numPr>
        <w:rPr>
          <w:rFonts w:cstheme="minorHAnsi"/>
          <w:sz w:val="24"/>
          <w:szCs w:val="24"/>
        </w:rPr>
      </w:pPr>
      <w:r w:rsidRPr="00FE16A6">
        <w:rPr>
          <w:rFonts w:cstheme="minorHAnsi"/>
          <w:sz w:val="24"/>
          <w:szCs w:val="24"/>
        </w:rPr>
        <w:t>Quota Share Reinsurance- The insurer and reinsurer share all losses and premiums according to a percentage decided by both parties in a contract.</w:t>
      </w:r>
    </w:p>
    <w:p w14:paraId="5DCFE8A7" w14:textId="77777777" w:rsidR="00FE16A6" w:rsidRPr="00FE16A6" w:rsidRDefault="00FE16A6" w:rsidP="00FE16A6">
      <w:pPr>
        <w:pStyle w:val="ListParagraph"/>
        <w:ind w:left="2160"/>
        <w:rPr>
          <w:rFonts w:cstheme="minorHAnsi"/>
          <w:sz w:val="24"/>
          <w:szCs w:val="24"/>
        </w:rPr>
      </w:pPr>
      <w:r w:rsidRPr="00FE16A6">
        <w:rPr>
          <w:rFonts w:cstheme="minorHAnsi"/>
          <w:sz w:val="24"/>
          <w:szCs w:val="24"/>
        </w:rPr>
        <w:t>Eg- In a contract that specifies a retained percentage of 75%, The reinsurer is obligated to 25% premiums and 25% claims.</w:t>
      </w:r>
    </w:p>
    <w:p w14:paraId="0C1D29B6" w14:textId="77777777" w:rsidR="00FE16A6" w:rsidRPr="00FE16A6" w:rsidRDefault="00FE16A6" w:rsidP="00FE16A6">
      <w:pPr>
        <w:pStyle w:val="ListParagraph"/>
        <w:numPr>
          <w:ilvl w:val="2"/>
          <w:numId w:val="1"/>
        </w:numPr>
        <w:rPr>
          <w:rFonts w:cstheme="minorHAnsi"/>
          <w:sz w:val="24"/>
          <w:szCs w:val="24"/>
        </w:rPr>
      </w:pPr>
      <w:r w:rsidRPr="00FE16A6">
        <w:rPr>
          <w:rFonts w:cstheme="minorHAnsi"/>
          <w:sz w:val="24"/>
          <w:szCs w:val="24"/>
        </w:rPr>
        <w:t xml:space="preserve">Surplus Share Reinsurance- A contract in which the ceding insurer retains a fixed amount of policy liability and the reinsurer takes responsibility for what remains.        </w:t>
      </w:r>
    </w:p>
    <w:p w14:paraId="55D5D2D4" w14:textId="77777777" w:rsidR="00FE16A6" w:rsidRPr="00FE16A6" w:rsidRDefault="00FE16A6" w:rsidP="00FE16A6">
      <w:pPr>
        <w:pStyle w:val="ListParagraph"/>
        <w:ind w:left="2160"/>
        <w:rPr>
          <w:rFonts w:cstheme="minorHAnsi"/>
          <w:sz w:val="24"/>
          <w:szCs w:val="24"/>
        </w:rPr>
      </w:pPr>
      <w:r w:rsidRPr="00FE16A6">
        <w:rPr>
          <w:rFonts w:cstheme="minorHAnsi"/>
          <w:sz w:val="24"/>
          <w:szCs w:val="24"/>
        </w:rPr>
        <w:t>Eg- In a retention of 2Miliion in a policy with a total coverage of 5Million, the Reinsurer is obligate to pay the remaining 3Million.</w:t>
      </w:r>
    </w:p>
    <w:p w14:paraId="0705F333" w14:textId="77777777" w:rsidR="00FE16A6" w:rsidRPr="00FE16A6" w:rsidRDefault="00FE16A6" w:rsidP="00FE16A6">
      <w:pPr>
        <w:pStyle w:val="ListParagraph"/>
        <w:ind w:left="1440"/>
        <w:rPr>
          <w:rFonts w:cstheme="minorHAnsi"/>
          <w:sz w:val="24"/>
          <w:szCs w:val="24"/>
        </w:rPr>
      </w:pPr>
      <w:r w:rsidRPr="00FE16A6">
        <w:rPr>
          <w:rFonts w:cstheme="minorHAnsi"/>
          <w:sz w:val="24"/>
          <w:szCs w:val="24"/>
        </w:rPr>
        <w:t xml:space="preserve">   </w:t>
      </w:r>
    </w:p>
    <w:p w14:paraId="0A4F9963" w14:textId="77777777" w:rsidR="00FE16A6" w:rsidRPr="00FE16A6" w:rsidRDefault="00FE16A6" w:rsidP="00FE16A6">
      <w:pPr>
        <w:pStyle w:val="ListParagraph"/>
        <w:numPr>
          <w:ilvl w:val="1"/>
          <w:numId w:val="1"/>
        </w:numPr>
        <w:rPr>
          <w:rFonts w:cstheme="minorHAnsi"/>
          <w:sz w:val="24"/>
          <w:szCs w:val="24"/>
        </w:rPr>
      </w:pPr>
      <w:r w:rsidRPr="00FE16A6">
        <w:rPr>
          <w:rFonts w:cstheme="minorHAnsi"/>
          <w:sz w:val="24"/>
          <w:szCs w:val="24"/>
        </w:rPr>
        <w:t>Non Proportional Reinsurance-     Under a non-proportional reinsurance arrangement, the initial insurer writer pays a fixed premium to the reinsurer. The reinsurer will only be required to make payments where part of the claim amount falls in a particular limit.</w:t>
      </w:r>
    </w:p>
    <w:p w14:paraId="2ABC24BC" w14:textId="77777777" w:rsidR="00FE16A6" w:rsidRPr="00FE16A6" w:rsidRDefault="00FE16A6" w:rsidP="00FE16A6">
      <w:pPr>
        <w:pStyle w:val="ListParagraph"/>
        <w:numPr>
          <w:ilvl w:val="2"/>
          <w:numId w:val="1"/>
        </w:numPr>
        <w:rPr>
          <w:rFonts w:cstheme="minorHAnsi"/>
          <w:sz w:val="24"/>
          <w:szCs w:val="24"/>
        </w:rPr>
      </w:pPr>
      <w:r w:rsidRPr="00FE16A6">
        <w:rPr>
          <w:rFonts w:cstheme="minorHAnsi"/>
          <w:sz w:val="24"/>
          <w:szCs w:val="24"/>
        </w:rPr>
        <w:t>Individual excess loss- Reinsurer makes a payment when the claim amount for an individual claim exceeds a specified excess point also called as retention.</w:t>
      </w:r>
    </w:p>
    <w:p w14:paraId="0EDA1BDD" w14:textId="77777777" w:rsidR="00FE16A6" w:rsidRPr="00FE16A6" w:rsidRDefault="00FE16A6" w:rsidP="00FE16A6">
      <w:pPr>
        <w:pStyle w:val="ListParagraph"/>
        <w:ind w:left="2160"/>
        <w:rPr>
          <w:rFonts w:cstheme="minorHAnsi"/>
          <w:sz w:val="24"/>
          <w:szCs w:val="24"/>
        </w:rPr>
      </w:pPr>
      <w:r w:rsidRPr="00FE16A6">
        <w:rPr>
          <w:rFonts w:cstheme="minorHAnsi"/>
          <w:sz w:val="24"/>
          <w:szCs w:val="24"/>
        </w:rPr>
        <w:t xml:space="preserve">Eg- If an excess point of 1M has been specified, then the reinsurer would be obligated to pay the insurer when the claim amount exceeds 1M. </w:t>
      </w:r>
    </w:p>
    <w:p w14:paraId="606B9F69" w14:textId="77777777" w:rsidR="00FE16A6" w:rsidRPr="00FE16A6" w:rsidRDefault="00FE16A6" w:rsidP="00FE16A6">
      <w:pPr>
        <w:pStyle w:val="ListParagraph"/>
        <w:numPr>
          <w:ilvl w:val="2"/>
          <w:numId w:val="1"/>
        </w:numPr>
        <w:rPr>
          <w:rFonts w:cstheme="minorHAnsi"/>
          <w:sz w:val="24"/>
          <w:szCs w:val="24"/>
        </w:rPr>
      </w:pPr>
      <w:r w:rsidRPr="00FE16A6">
        <w:rPr>
          <w:rFonts w:cstheme="minorHAnsi"/>
          <w:sz w:val="24"/>
          <w:szCs w:val="24"/>
        </w:rPr>
        <w:t>Stop Loss Reinsurance- the reinsurer will be obligated to make payments if the total claim amount for a specified group of policies exceeds a specified amount.</w:t>
      </w:r>
    </w:p>
    <w:p w14:paraId="1BCF6CD8" w14:textId="77777777" w:rsidR="00FE16A6" w:rsidRPr="00FE16A6" w:rsidRDefault="00FE16A6" w:rsidP="00FE16A6">
      <w:pPr>
        <w:pStyle w:val="ListParagraph"/>
        <w:ind w:left="2160"/>
        <w:rPr>
          <w:rFonts w:cstheme="minorHAnsi"/>
          <w:sz w:val="24"/>
          <w:szCs w:val="24"/>
        </w:rPr>
      </w:pPr>
      <w:r w:rsidRPr="00FE16A6">
        <w:rPr>
          <w:rFonts w:cstheme="minorHAnsi"/>
          <w:sz w:val="24"/>
          <w:szCs w:val="24"/>
        </w:rPr>
        <w:t>Eg- If the contract states a stop loss limit of $500K, then the reinsurer will be liable to pay all claims over that amount.</w:t>
      </w:r>
    </w:p>
    <w:p w14:paraId="0A6F6062" w14:textId="1864661A" w:rsidR="00FE16A6" w:rsidRPr="00FE16A6" w:rsidRDefault="00FE16A6" w:rsidP="00FE16A6">
      <w:pPr>
        <w:pStyle w:val="ListParagraph"/>
        <w:numPr>
          <w:ilvl w:val="0"/>
          <w:numId w:val="1"/>
        </w:numPr>
        <w:rPr>
          <w:rFonts w:cstheme="minorHAnsi"/>
          <w:color w:val="505050"/>
          <w:sz w:val="24"/>
          <w:szCs w:val="24"/>
        </w:rPr>
      </w:pPr>
      <w:r w:rsidRPr="00FE16A6">
        <w:rPr>
          <w:rFonts w:cstheme="minorHAnsi"/>
          <w:color w:val="505050"/>
          <w:sz w:val="24"/>
          <w:szCs w:val="24"/>
        </w:rPr>
        <w:t xml:space="preserve">The difference between stop loss insurance and excess loss of insurance is that in excess of loss reinsurance, the reinsurer indemnifies the ceding company for losses </w:t>
      </w:r>
      <w:r w:rsidRPr="00FE16A6">
        <w:rPr>
          <w:rFonts w:cstheme="minorHAnsi"/>
          <w:color w:val="505050"/>
          <w:sz w:val="24"/>
          <w:szCs w:val="24"/>
        </w:rPr>
        <w:lastRenderedPageBreak/>
        <w:t>that exceed a certain limit where as in stop loss reinsurance an agreement is made whereby a reinsurer assumes on a per loss basis all loss amounts of the reinsured, subject to the policy limit, in excess of the stated amount.</w:t>
      </w:r>
    </w:p>
    <w:p w14:paraId="5EADBADA" w14:textId="49E61B01" w:rsidR="00FE16A6" w:rsidRPr="00FE16A6" w:rsidRDefault="00FE16A6" w:rsidP="00FE16A6">
      <w:pPr>
        <w:pStyle w:val="ListParagraph"/>
        <w:rPr>
          <w:rFonts w:cstheme="minorHAnsi"/>
          <w:color w:val="505050"/>
          <w:sz w:val="24"/>
          <w:szCs w:val="24"/>
        </w:rPr>
      </w:pPr>
    </w:p>
    <w:p w14:paraId="1BA6DF17" w14:textId="77777777" w:rsidR="00FE16A6" w:rsidRPr="00FE16A6" w:rsidRDefault="00FE16A6" w:rsidP="00FE16A6">
      <w:pPr>
        <w:pStyle w:val="ListParagraph"/>
        <w:rPr>
          <w:rFonts w:cstheme="minorHAnsi"/>
          <w:color w:val="505050"/>
          <w:sz w:val="24"/>
          <w:szCs w:val="24"/>
        </w:rPr>
      </w:pPr>
    </w:p>
    <w:p w14:paraId="7DB61163" w14:textId="77777777" w:rsidR="00FE16A6" w:rsidRPr="00FE16A6" w:rsidRDefault="00FE16A6" w:rsidP="00FE16A6">
      <w:pPr>
        <w:pStyle w:val="ListParagraph"/>
        <w:numPr>
          <w:ilvl w:val="0"/>
          <w:numId w:val="1"/>
        </w:numPr>
        <w:rPr>
          <w:rFonts w:cstheme="minorHAnsi"/>
          <w:color w:val="505050"/>
          <w:sz w:val="24"/>
          <w:szCs w:val="24"/>
        </w:rPr>
      </w:pPr>
      <w:r w:rsidRPr="00FE16A6">
        <w:rPr>
          <w:rFonts w:cstheme="minorHAnsi"/>
          <w:color w:val="505050"/>
          <w:sz w:val="24"/>
          <w:szCs w:val="24"/>
        </w:rPr>
        <w:t>The various ratios used in profit analysis of reinsurance are as follows:</w:t>
      </w:r>
    </w:p>
    <w:tbl>
      <w:tblPr>
        <w:tblStyle w:val="TableGrid"/>
        <w:tblW w:w="11341" w:type="dxa"/>
        <w:tblInd w:w="-1281" w:type="dxa"/>
        <w:tblLook w:val="04A0" w:firstRow="1" w:lastRow="0" w:firstColumn="1" w:lastColumn="0" w:noHBand="0" w:noVBand="1"/>
      </w:tblPr>
      <w:tblGrid>
        <w:gridCol w:w="2694"/>
        <w:gridCol w:w="4955"/>
        <w:gridCol w:w="3692"/>
      </w:tblGrid>
      <w:tr w:rsidR="00FE16A6" w:rsidRPr="00FE16A6" w14:paraId="66BEAE3E" w14:textId="77777777" w:rsidTr="00FE16A6">
        <w:tc>
          <w:tcPr>
            <w:tcW w:w="2694" w:type="dxa"/>
          </w:tcPr>
          <w:p w14:paraId="4CC5EE1D" w14:textId="77777777" w:rsidR="00FE16A6" w:rsidRPr="00FE16A6" w:rsidRDefault="00FE16A6" w:rsidP="00440E03">
            <w:pPr>
              <w:pStyle w:val="ListParagraph"/>
              <w:ind w:left="0"/>
              <w:jc w:val="center"/>
              <w:rPr>
                <w:rFonts w:cstheme="minorHAnsi"/>
                <w:color w:val="505050"/>
                <w:sz w:val="24"/>
                <w:szCs w:val="24"/>
              </w:rPr>
            </w:pPr>
            <w:r w:rsidRPr="00FE16A6">
              <w:rPr>
                <w:rFonts w:cstheme="minorHAnsi"/>
                <w:color w:val="505050"/>
                <w:sz w:val="24"/>
                <w:szCs w:val="24"/>
              </w:rPr>
              <w:t>RATIO</w:t>
            </w:r>
          </w:p>
        </w:tc>
        <w:tc>
          <w:tcPr>
            <w:tcW w:w="4955" w:type="dxa"/>
          </w:tcPr>
          <w:p w14:paraId="604C9EC8" w14:textId="77777777" w:rsidR="00FE16A6" w:rsidRPr="00FE16A6" w:rsidRDefault="00FE16A6" w:rsidP="00440E03">
            <w:pPr>
              <w:pStyle w:val="ListParagraph"/>
              <w:ind w:left="0"/>
              <w:jc w:val="center"/>
              <w:rPr>
                <w:rFonts w:cstheme="minorHAnsi"/>
                <w:color w:val="505050"/>
                <w:sz w:val="24"/>
                <w:szCs w:val="24"/>
              </w:rPr>
            </w:pPr>
            <w:r w:rsidRPr="00FE16A6">
              <w:rPr>
                <w:rFonts w:cstheme="minorHAnsi"/>
                <w:color w:val="505050"/>
                <w:sz w:val="24"/>
                <w:szCs w:val="24"/>
              </w:rPr>
              <w:t>FORMULA</w:t>
            </w:r>
          </w:p>
        </w:tc>
        <w:tc>
          <w:tcPr>
            <w:tcW w:w="3692" w:type="dxa"/>
          </w:tcPr>
          <w:p w14:paraId="76744D19" w14:textId="77777777" w:rsidR="00FE16A6" w:rsidRPr="00FE16A6" w:rsidRDefault="00FE16A6" w:rsidP="00440E03">
            <w:pPr>
              <w:pStyle w:val="ListParagraph"/>
              <w:ind w:left="0"/>
              <w:jc w:val="center"/>
              <w:rPr>
                <w:rFonts w:cstheme="minorHAnsi"/>
                <w:color w:val="505050"/>
                <w:sz w:val="24"/>
                <w:szCs w:val="24"/>
              </w:rPr>
            </w:pPr>
            <w:r w:rsidRPr="00FE16A6">
              <w:rPr>
                <w:rFonts w:cstheme="minorHAnsi"/>
                <w:color w:val="505050"/>
                <w:sz w:val="24"/>
                <w:szCs w:val="24"/>
              </w:rPr>
              <w:t>SIGNIFICANCE IN ANALYSIS</w:t>
            </w:r>
          </w:p>
        </w:tc>
      </w:tr>
      <w:tr w:rsidR="00FE16A6" w:rsidRPr="00FE16A6" w14:paraId="73177DE1" w14:textId="77777777" w:rsidTr="00FE16A6">
        <w:tc>
          <w:tcPr>
            <w:tcW w:w="2694" w:type="dxa"/>
          </w:tcPr>
          <w:p w14:paraId="3C2F6B99"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Premium Growth</w:t>
            </w:r>
          </w:p>
        </w:tc>
        <w:tc>
          <w:tcPr>
            <w:tcW w:w="4955" w:type="dxa"/>
          </w:tcPr>
          <w:p w14:paraId="023F95B7" w14:textId="77777777" w:rsidR="00FE16A6" w:rsidRPr="00FE16A6" w:rsidRDefault="00FE16A6" w:rsidP="00440E03">
            <w:pPr>
              <w:pStyle w:val="ListParagraph"/>
              <w:ind w:left="0"/>
              <w:rPr>
                <w:rFonts w:cstheme="minorHAnsi"/>
                <w:sz w:val="24"/>
                <w:szCs w:val="24"/>
              </w:rPr>
            </w:pPr>
            <w:r w:rsidRPr="00FE16A6">
              <w:rPr>
                <w:rFonts w:cstheme="minorHAnsi"/>
                <w:sz w:val="24"/>
                <w:szCs w:val="24"/>
              </w:rPr>
              <w:t>GPWT – GPWT-1 * 100 /GPWT-1 GPW:</w:t>
            </w:r>
          </w:p>
          <w:p w14:paraId="5C5F4BBF" w14:textId="77777777" w:rsidR="00FE16A6" w:rsidRPr="00FE16A6" w:rsidRDefault="00FE16A6" w:rsidP="00440E03">
            <w:pPr>
              <w:pStyle w:val="ListParagraph"/>
              <w:ind w:left="0"/>
              <w:rPr>
                <w:rFonts w:cstheme="minorHAnsi"/>
                <w:sz w:val="24"/>
                <w:szCs w:val="24"/>
              </w:rPr>
            </w:pPr>
            <w:r w:rsidRPr="00FE16A6">
              <w:rPr>
                <w:rFonts w:cstheme="minorHAnsi"/>
                <w:sz w:val="24"/>
                <w:szCs w:val="24"/>
              </w:rPr>
              <w:t xml:space="preserve"> Gross Premium Written T: Current year </w:t>
            </w:r>
          </w:p>
          <w:p w14:paraId="4EE9B60E"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T-1: Previous year</w:t>
            </w:r>
          </w:p>
        </w:tc>
        <w:tc>
          <w:tcPr>
            <w:tcW w:w="3692" w:type="dxa"/>
          </w:tcPr>
          <w:p w14:paraId="76FA157E"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Indicates growth in business undertaken by the insurance entity.</w:t>
            </w:r>
          </w:p>
        </w:tc>
      </w:tr>
      <w:tr w:rsidR="00FE16A6" w:rsidRPr="00FE16A6" w14:paraId="075257CE" w14:textId="77777777" w:rsidTr="00FE16A6">
        <w:tc>
          <w:tcPr>
            <w:tcW w:w="2694" w:type="dxa"/>
          </w:tcPr>
          <w:p w14:paraId="67450B5C"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Risk Retention</w:t>
            </w:r>
          </w:p>
        </w:tc>
        <w:tc>
          <w:tcPr>
            <w:tcW w:w="4955" w:type="dxa"/>
          </w:tcPr>
          <w:p w14:paraId="5ED1B48B"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Net Premium Written/Gross Premium Written</w:t>
            </w:r>
          </w:p>
        </w:tc>
        <w:tc>
          <w:tcPr>
            <w:tcW w:w="3692" w:type="dxa"/>
          </w:tcPr>
          <w:p w14:paraId="2E081675"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Indicates the level of risks retained by the insurer vis-à-vis that ceded to reinsurers. Reinsurance plays an essential role in the risk spreading process.</w:t>
            </w:r>
          </w:p>
        </w:tc>
      </w:tr>
      <w:tr w:rsidR="00FE16A6" w:rsidRPr="00FE16A6" w14:paraId="42BB5659" w14:textId="77777777" w:rsidTr="00FE16A6">
        <w:tc>
          <w:tcPr>
            <w:tcW w:w="2694" w:type="dxa"/>
          </w:tcPr>
          <w:p w14:paraId="7CFF3061"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Loss Ratio</w:t>
            </w:r>
          </w:p>
        </w:tc>
        <w:tc>
          <w:tcPr>
            <w:tcW w:w="4955" w:type="dxa"/>
          </w:tcPr>
          <w:p w14:paraId="64F0026E"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Net Claims Incurred * 100 /Net Premium Earned</w:t>
            </w:r>
          </w:p>
        </w:tc>
        <w:tc>
          <w:tcPr>
            <w:tcW w:w="3692" w:type="dxa"/>
          </w:tcPr>
          <w:p w14:paraId="669A2647"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The ratio measures the company’s loss experience as a proportion of premium income earned during the year. The loss ratio is a reflection on the nature of risk underwritten and the adequacy or inadequacy of pricing of risks.</w:t>
            </w:r>
          </w:p>
        </w:tc>
      </w:tr>
      <w:tr w:rsidR="00FE16A6" w:rsidRPr="00FE16A6" w14:paraId="1FC389B9" w14:textId="77777777" w:rsidTr="00FE16A6">
        <w:tc>
          <w:tcPr>
            <w:tcW w:w="2694" w:type="dxa"/>
          </w:tcPr>
          <w:p w14:paraId="27EC6508"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Expense Ratio</w:t>
            </w:r>
          </w:p>
        </w:tc>
        <w:tc>
          <w:tcPr>
            <w:tcW w:w="4955" w:type="dxa"/>
          </w:tcPr>
          <w:p w14:paraId="32ECAF6F"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Management Expense +/(-) Net Commission Paid/(Earned) * 100/ Net Premium Earned</w:t>
            </w:r>
          </w:p>
        </w:tc>
        <w:tc>
          <w:tcPr>
            <w:tcW w:w="3692" w:type="dxa"/>
          </w:tcPr>
          <w:p w14:paraId="3D1312C3"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Expense ratio reflects the efficiency of insurance operations. Expense ratio for an insurer is analyzed by class of business, along with the trend of the same.</w:t>
            </w:r>
          </w:p>
        </w:tc>
      </w:tr>
      <w:tr w:rsidR="00FE16A6" w:rsidRPr="00FE16A6" w14:paraId="72DC6265" w14:textId="77777777" w:rsidTr="00FE16A6">
        <w:tc>
          <w:tcPr>
            <w:tcW w:w="2694" w:type="dxa"/>
          </w:tcPr>
          <w:p w14:paraId="2B87519B"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Combined Ratio</w:t>
            </w:r>
          </w:p>
        </w:tc>
        <w:tc>
          <w:tcPr>
            <w:tcW w:w="4955" w:type="dxa"/>
          </w:tcPr>
          <w:p w14:paraId="01526128"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Loss Ratio + Expense Ratio</w:t>
            </w:r>
          </w:p>
        </w:tc>
        <w:tc>
          <w:tcPr>
            <w:tcW w:w="3692" w:type="dxa"/>
          </w:tcPr>
          <w:p w14:paraId="5065F7B3"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Combined ratio is a measure of underwriting profitability of an insurance company after factoring claims expenses and operating expenses of the insurer.</w:t>
            </w:r>
          </w:p>
        </w:tc>
      </w:tr>
      <w:tr w:rsidR="00FE16A6" w:rsidRPr="00FE16A6" w14:paraId="401AC5CF" w14:textId="77777777" w:rsidTr="00FE16A6">
        <w:tc>
          <w:tcPr>
            <w:tcW w:w="2694" w:type="dxa"/>
          </w:tcPr>
          <w:p w14:paraId="0BB7B63B"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Investment Yield</w:t>
            </w:r>
          </w:p>
        </w:tc>
        <w:tc>
          <w:tcPr>
            <w:tcW w:w="4955" w:type="dxa"/>
          </w:tcPr>
          <w:p w14:paraId="21D69A86"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Total Investment Income/ Average Total Investments</w:t>
            </w:r>
          </w:p>
        </w:tc>
        <w:tc>
          <w:tcPr>
            <w:tcW w:w="3692" w:type="dxa"/>
          </w:tcPr>
          <w:p w14:paraId="40F2DD26"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This ratio measures the average return on the company’s invested assets before and after capital gains and losses. While calculating the investment yield including capital gains, both realized as well as unrealized capital gains are considered.</w:t>
            </w:r>
          </w:p>
        </w:tc>
      </w:tr>
      <w:tr w:rsidR="00FE16A6" w:rsidRPr="00FE16A6" w14:paraId="0083B959" w14:textId="77777777" w:rsidTr="00FE16A6">
        <w:tc>
          <w:tcPr>
            <w:tcW w:w="2694" w:type="dxa"/>
          </w:tcPr>
          <w:p w14:paraId="5E236938"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Net Earnings Ratio</w:t>
            </w:r>
          </w:p>
        </w:tc>
        <w:tc>
          <w:tcPr>
            <w:tcW w:w="4955" w:type="dxa"/>
          </w:tcPr>
          <w:p w14:paraId="0F886D14"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Profit After Tax/ Net Premium Written</w:t>
            </w:r>
          </w:p>
        </w:tc>
        <w:tc>
          <w:tcPr>
            <w:tcW w:w="3692" w:type="dxa"/>
          </w:tcPr>
          <w:p w14:paraId="7FCD42AC"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This ratio measures the overall profitability of an insurer after factoring underwriting result, operating expenses as well as investment income and tax.</w:t>
            </w:r>
          </w:p>
        </w:tc>
      </w:tr>
      <w:tr w:rsidR="00FE16A6" w:rsidRPr="00FE16A6" w14:paraId="77DD18A3" w14:textId="77777777" w:rsidTr="00FE16A6">
        <w:tc>
          <w:tcPr>
            <w:tcW w:w="2694" w:type="dxa"/>
          </w:tcPr>
          <w:p w14:paraId="586A3E5B"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lastRenderedPageBreak/>
              <w:t>Return on Net worth</w:t>
            </w:r>
          </w:p>
        </w:tc>
        <w:tc>
          <w:tcPr>
            <w:tcW w:w="4955" w:type="dxa"/>
          </w:tcPr>
          <w:p w14:paraId="7EE71DA5"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Profit After Tax/Average Net worth</w:t>
            </w:r>
          </w:p>
        </w:tc>
        <w:tc>
          <w:tcPr>
            <w:tcW w:w="3692" w:type="dxa"/>
          </w:tcPr>
          <w:p w14:paraId="03694086" w14:textId="77777777" w:rsidR="00FE16A6" w:rsidRPr="00FE16A6" w:rsidRDefault="00FE16A6" w:rsidP="00440E03">
            <w:pPr>
              <w:pStyle w:val="ListParagraph"/>
              <w:ind w:left="0"/>
              <w:rPr>
                <w:rFonts w:cstheme="minorHAnsi"/>
                <w:color w:val="505050"/>
                <w:sz w:val="24"/>
                <w:szCs w:val="24"/>
              </w:rPr>
            </w:pPr>
            <w:r w:rsidRPr="00FE16A6">
              <w:rPr>
                <w:rFonts w:cstheme="minorHAnsi"/>
                <w:sz w:val="24"/>
                <w:szCs w:val="24"/>
              </w:rPr>
              <w:t>This ratio reflects the post-tax return generated on net worth of an insurer. It’s a measure of overall return on the equity deployed in the business.</w:t>
            </w:r>
          </w:p>
        </w:tc>
      </w:tr>
    </w:tbl>
    <w:p w14:paraId="4051EF21" w14:textId="6CD6F718" w:rsidR="00FE16A6" w:rsidRPr="00FE16A6" w:rsidRDefault="00FE16A6" w:rsidP="00FE16A6">
      <w:pPr>
        <w:pStyle w:val="ListParagraph"/>
        <w:numPr>
          <w:ilvl w:val="0"/>
          <w:numId w:val="1"/>
        </w:numPr>
        <w:rPr>
          <w:rFonts w:cstheme="minorHAnsi"/>
          <w:sz w:val="24"/>
          <w:szCs w:val="24"/>
        </w:rPr>
      </w:pPr>
      <w:r w:rsidRPr="00FE16A6">
        <w:rPr>
          <w:rFonts w:cstheme="minorHAnsi"/>
          <w:sz w:val="24"/>
          <w:szCs w:val="24"/>
        </w:rPr>
        <w:t>History of General Insurance in India-</w:t>
      </w:r>
    </w:p>
    <w:p w14:paraId="224F940A" w14:textId="77777777" w:rsidR="00FE16A6" w:rsidRPr="00FE16A6" w:rsidRDefault="00FE16A6" w:rsidP="00FE16A6">
      <w:pPr>
        <w:pStyle w:val="ListParagraph"/>
        <w:numPr>
          <w:ilvl w:val="1"/>
          <w:numId w:val="1"/>
        </w:numPr>
        <w:rPr>
          <w:rFonts w:cstheme="minorHAnsi"/>
          <w:sz w:val="24"/>
          <w:szCs w:val="24"/>
        </w:rPr>
      </w:pPr>
      <w:r w:rsidRPr="00FE16A6">
        <w:rPr>
          <w:rFonts w:cstheme="minorHAnsi"/>
          <w:sz w:val="24"/>
          <w:szCs w:val="24"/>
        </w:rPr>
        <w:t>First General Insurance company in India was Triton Insurance Company Ltd. Established in Calcutta in 1850 AD.</w:t>
      </w:r>
    </w:p>
    <w:p w14:paraId="61EF0F4F" w14:textId="77777777" w:rsidR="00FE16A6" w:rsidRPr="00FE16A6" w:rsidRDefault="00FE16A6" w:rsidP="00FE16A6">
      <w:pPr>
        <w:pStyle w:val="ListParagraph"/>
        <w:numPr>
          <w:ilvl w:val="1"/>
          <w:numId w:val="1"/>
        </w:numPr>
        <w:rPr>
          <w:rFonts w:cstheme="minorHAnsi"/>
          <w:sz w:val="24"/>
          <w:szCs w:val="24"/>
        </w:rPr>
      </w:pPr>
      <w:r w:rsidRPr="00FE16A6">
        <w:rPr>
          <w:rFonts w:cstheme="minorHAnsi"/>
          <w:sz w:val="24"/>
          <w:szCs w:val="24"/>
        </w:rPr>
        <w:t xml:space="preserve">Indian Mercantile Insurance Company ltd was established in Bombay in 1906. </w:t>
      </w:r>
    </w:p>
    <w:p w14:paraId="2B2B3513" w14:textId="77777777" w:rsidR="00FE16A6" w:rsidRPr="00FE16A6" w:rsidRDefault="00FE16A6" w:rsidP="00FE16A6">
      <w:pPr>
        <w:pStyle w:val="ListParagraph"/>
        <w:numPr>
          <w:ilvl w:val="1"/>
          <w:numId w:val="1"/>
        </w:numPr>
        <w:rPr>
          <w:rFonts w:cstheme="minorHAnsi"/>
          <w:sz w:val="24"/>
          <w:szCs w:val="24"/>
        </w:rPr>
      </w:pPr>
      <w:r w:rsidRPr="00FE16A6">
        <w:rPr>
          <w:rFonts w:cstheme="minorHAnsi"/>
          <w:sz w:val="24"/>
          <w:szCs w:val="24"/>
        </w:rPr>
        <w:t>Later, 107 insurers were amalgamated and grouped into 40 companies namely- National Insurance Company Ltd, the New India Assurance Company Ltd, the Oriental Insurance Company Ltd and the United India Insurance Company Ltd.</w:t>
      </w:r>
    </w:p>
    <w:p w14:paraId="339FD88B" w14:textId="77777777" w:rsidR="00FE16A6" w:rsidRPr="00FE16A6" w:rsidRDefault="00FE16A6" w:rsidP="00FE16A6">
      <w:pPr>
        <w:pStyle w:val="ListParagraph"/>
        <w:numPr>
          <w:ilvl w:val="1"/>
          <w:numId w:val="1"/>
        </w:numPr>
        <w:rPr>
          <w:rFonts w:cstheme="minorHAnsi"/>
          <w:sz w:val="24"/>
          <w:szCs w:val="24"/>
        </w:rPr>
      </w:pPr>
      <w:r w:rsidRPr="00FE16A6">
        <w:rPr>
          <w:rFonts w:cstheme="minorHAnsi"/>
          <w:sz w:val="24"/>
          <w:szCs w:val="24"/>
        </w:rPr>
        <w:t>The General Insurance Corporation of India was incorporated as a company in 1971 and it initiated business on January 1st 1973.</w:t>
      </w:r>
    </w:p>
    <w:p w14:paraId="65333EAC" w14:textId="62A5C44B" w:rsidR="00FE16A6" w:rsidRPr="00FE16A6" w:rsidRDefault="00FE16A6" w:rsidP="00FE16A6">
      <w:pPr>
        <w:pStyle w:val="ListParagraph"/>
        <w:numPr>
          <w:ilvl w:val="0"/>
          <w:numId w:val="1"/>
        </w:numPr>
        <w:rPr>
          <w:rFonts w:cstheme="minorHAnsi"/>
          <w:sz w:val="24"/>
          <w:szCs w:val="24"/>
        </w:rPr>
      </w:pPr>
    </w:p>
    <w:p w14:paraId="118E2EF8" w14:textId="347ACACB" w:rsidR="00FE16A6" w:rsidRPr="00FE16A6" w:rsidRDefault="00FE16A6" w:rsidP="00FE16A6">
      <w:pPr>
        <w:pStyle w:val="ListParagraph"/>
        <w:rPr>
          <w:rFonts w:cstheme="minorHAnsi"/>
          <w:sz w:val="24"/>
          <w:szCs w:val="24"/>
        </w:rPr>
      </w:pPr>
      <w:r w:rsidRPr="00FE16A6">
        <w:rPr>
          <w:rFonts w:cstheme="minorHAnsi"/>
          <w:sz w:val="24"/>
          <w:szCs w:val="24"/>
        </w:rPr>
        <w:t xml:space="preserve">Given </w:t>
      </w:r>
    </w:p>
    <w:p w14:paraId="65C29F1E" w14:textId="4BF8DF68" w:rsidR="00FE16A6" w:rsidRPr="00FE16A6" w:rsidRDefault="00FE16A6" w:rsidP="00FE16A6">
      <w:pPr>
        <w:pStyle w:val="ListParagraph"/>
        <w:rPr>
          <w:rFonts w:cstheme="minorHAnsi"/>
          <w:sz w:val="24"/>
          <w:szCs w:val="24"/>
        </w:rPr>
      </w:pPr>
      <w:r w:rsidRPr="00FE16A6">
        <w:rPr>
          <w:rFonts w:cstheme="minorHAnsi"/>
          <w:sz w:val="24"/>
          <w:szCs w:val="24"/>
        </w:rPr>
        <w:t>Exp= 8500</w:t>
      </w:r>
    </w:p>
    <w:p w14:paraId="259F7CF6" w14:textId="6DFE1DFF" w:rsidR="00FE16A6" w:rsidRPr="00FE16A6" w:rsidRDefault="00FE16A6" w:rsidP="00FE16A6">
      <w:pPr>
        <w:pStyle w:val="ListParagraph"/>
        <w:rPr>
          <w:rFonts w:cstheme="minorHAnsi"/>
          <w:sz w:val="24"/>
          <w:szCs w:val="24"/>
        </w:rPr>
      </w:pPr>
      <w:r w:rsidRPr="00FE16A6">
        <w:rPr>
          <w:rFonts w:cstheme="minorHAnsi"/>
          <w:sz w:val="24"/>
          <w:szCs w:val="24"/>
        </w:rPr>
        <w:t>Commission= 5700</w:t>
      </w:r>
    </w:p>
    <w:p w14:paraId="48D1BFD7" w14:textId="6A5923A8" w:rsidR="00FE16A6" w:rsidRPr="00FE16A6" w:rsidRDefault="00FE16A6" w:rsidP="00FE16A6">
      <w:pPr>
        <w:pStyle w:val="ListParagraph"/>
        <w:rPr>
          <w:rFonts w:cstheme="minorHAnsi"/>
          <w:sz w:val="24"/>
          <w:szCs w:val="24"/>
        </w:rPr>
      </w:pPr>
      <w:r w:rsidRPr="00FE16A6">
        <w:rPr>
          <w:rFonts w:cstheme="minorHAnsi"/>
          <w:sz w:val="24"/>
          <w:szCs w:val="24"/>
        </w:rPr>
        <w:t>NIC= 150000</w:t>
      </w:r>
    </w:p>
    <w:p w14:paraId="78B9C596" w14:textId="5E541625" w:rsidR="00FE16A6" w:rsidRPr="00FE16A6" w:rsidRDefault="00FE16A6" w:rsidP="00FE16A6">
      <w:pPr>
        <w:pStyle w:val="ListParagraph"/>
        <w:rPr>
          <w:rFonts w:cstheme="minorHAnsi"/>
          <w:sz w:val="24"/>
          <w:szCs w:val="24"/>
        </w:rPr>
      </w:pPr>
      <w:r w:rsidRPr="00FE16A6">
        <w:rPr>
          <w:rFonts w:cstheme="minorHAnsi"/>
          <w:sz w:val="24"/>
          <w:szCs w:val="24"/>
        </w:rPr>
        <w:t>NWP= 50000</w:t>
      </w:r>
    </w:p>
    <w:p w14:paraId="5AE26A9F" w14:textId="4CA8A262" w:rsidR="00FE16A6" w:rsidRPr="00FE16A6" w:rsidRDefault="00FE16A6" w:rsidP="00FE16A6">
      <w:pPr>
        <w:pStyle w:val="ListParagraph"/>
        <w:rPr>
          <w:rFonts w:cstheme="minorHAnsi"/>
          <w:sz w:val="24"/>
          <w:szCs w:val="24"/>
        </w:rPr>
      </w:pPr>
      <w:r w:rsidRPr="00FE16A6">
        <w:rPr>
          <w:rFonts w:cstheme="minorHAnsi"/>
          <w:sz w:val="24"/>
          <w:szCs w:val="24"/>
        </w:rPr>
        <w:t>NEP= 75000</w:t>
      </w:r>
    </w:p>
    <w:p w14:paraId="7C6A6430" w14:textId="1892766F" w:rsidR="00FE16A6" w:rsidRPr="00FE16A6" w:rsidRDefault="00FE16A6" w:rsidP="00FE16A6">
      <w:pPr>
        <w:pStyle w:val="ListParagraph"/>
        <w:rPr>
          <w:rFonts w:cstheme="minorHAnsi"/>
          <w:sz w:val="24"/>
          <w:szCs w:val="24"/>
        </w:rPr>
      </w:pPr>
    </w:p>
    <w:p w14:paraId="45D63081" w14:textId="7D46D60B" w:rsidR="00FE16A6" w:rsidRDefault="00FE16A6" w:rsidP="00FE16A6">
      <w:pPr>
        <w:pStyle w:val="ListParagraph"/>
        <w:rPr>
          <w:rFonts w:eastAsiaTheme="minorEastAsia" w:cstheme="minorHAnsi"/>
          <w:sz w:val="24"/>
          <w:szCs w:val="24"/>
        </w:rPr>
      </w:pPr>
      <w:r w:rsidRPr="00FE16A6">
        <w:rPr>
          <w:rFonts w:cstheme="minorHAnsi"/>
          <w:sz w:val="24"/>
          <w:szCs w:val="24"/>
        </w:rPr>
        <w:t xml:space="preserve">Combined ratio = </w:t>
      </w:r>
      <m:oMath>
        <m:f>
          <m:fPr>
            <m:ctrlPr>
              <w:rPr>
                <w:rFonts w:ascii="Cambria Math" w:hAnsi="Cambria Math" w:cstheme="minorHAnsi"/>
                <w:i/>
                <w:sz w:val="24"/>
                <w:szCs w:val="24"/>
              </w:rPr>
            </m:ctrlPr>
          </m:fPr>
          <m:num>
            <m:r>
              <w:rPr>
                <w:rFonts w:ascii="Cambria Math" w:hAnsi="Cambria Math" w:cstheme="minorHAnsi"/>
                <w:sz w:val="24"/>
                <w:szCs w:val="24"/>
              </w:rPr>
              <m:t>NIC</m:t>
            </m:r>
          </m:num>
          <m:den>
            <m:r>
              <w:rPr>
                <w:rFonts w:ascii="Cambria Math" w:hAnsi="Cambria Math" w:cstheme="minorHAnsi"/>
                <w:sz w:val="24"/>
                <w:szCs w:val="24"/>
              </w:rPr>
              <m:t>NEP</m:t>
            </m:r>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EXP</m:t>
            </m:r>
          </m:num>
          <m:den>
            <m:r>
              <w:rPr>
                <w:rFonts w:ascii="Cambria Math" w:hAnsi="Cambria Math" w:cstheme="minorHAnsi"/>
                <w:sz w:val="24"/>
                <w:szCs w:val="24"/>
              </w:rPr>
              <m:t>NWP</m:t>
            </m:r>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NET COMMISSION</m:t>
            </m:r>
          </m:num>
          <m:den>
            <m:r>
              <w:rPr>
                <w:rFonts w:ascii="Cambria Math" w:hAnsi="Cambria Math" w:cstheme="minorHAnsi"/>
                <w:sz w:val="24"/>
                <w:szCs w:val="24"/>
              </w:rPr>
              <m:t>NWP</m:t>
            </m:r>
          </m:den>
        </m:f>
      </m:oMath>
    </w:p>
    <w:p w14:paraId="218E67A6" w14:textId="77777777" w:rsidR="00FE16A6" w:rsidRPr="00FE16A6" w:rsidRDefault="00FE16A6" w:rsidP="00FE16A6">
      <w:pPr>
        <w:pStyle w:val="ListParagraph"/>
        <w:rPr>
          <w:rFonts w:eastAsiaTheme="minorEastAsia" w:cstheme="minorHAnsi"/>
          <w:sz w:val="24"/>
          <w:szCs w:val="24"/>
        </w:rPr>
      </w:pPr>
    </w:p>
    <w:p w14:paraId="400F9EA2" w14:textId="491B37A1" w:rsidR="00FE16A6" w:rsidRDefault="00FE16A6" w:rsidP="00FE16A6">
      <w:pPr>
        <w:pStyle w:val="ListParagraph"/>
        <w:rPr>
          <w:rFonts w:eastAsiaTheme="minorEastAsia" w:cstheme="minorHAnsi"/>
          <w:sz w:val="24"/>
          <w:szCs w:val="24"/>
        </w:rPr>
      </w:pPr>
      <w:r w:rsidRPr="00FE16A6">
        <w:rPr>
          <w:rFonts w:eastAsiaTheme="minorEastAsia" w:cstheme="minorHAnsi"/>
          <w:sz w:val="24"/>
          <w:szCs w:val="24"/>
        </w:rPr>
        <w:t xml:space="preserve">=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150000</m:t>
            </m:r>
          </m:num>
          <m:den>
            <m:r>
              <w:rPr>
                <w:rFonts w:ascii="Cambria Math" w:eastAsiaTheme="minorEastAsia" w:hAnsi="Cambria Math" w:cstheme="minorHAnsi"/>
                <w:sz w:val="24"/>
                <w:szCs w:val="24"/>
              </w:rPr>
              <m:t>75000</m:t>
            </m:r>
          </m:den>
        </m:f>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85000</m:t>
            </m:r>
          </m:num>
          <m:den>
            <m:r>
              <w:rPr>
                <w:rFonts w:ascii="Cambria Math" w:eastAsiaTheme="minorEastAsia" w:hAnsi="Cambria Math" w:cstheme="minorHAnsi"/>
                <w:sz w:val="24"/>
                <w:szCs w:val="24"/>
              </w:rPr>
              <m:t>50000</m:t>
            </m:r>
          </m:den>
        </m:f>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5700</m:t>
            </m:r>
          </m:num>
          <m:den>
            <m:r>
              <w:rPr>
                <w:rFonts w:ascii="Cambria Math" w:eastAsiaTheme="minorEastAsia" w:hAnsi="Cambria Math" w:cstheme="minorHAnsi"/>
                <w:sz w:val="24"/>
                <w:szCs w:val="24"/>
              </w:rPr>
              <m:t>50000</m:t>
            </m:r>
          </m:den>
        </m:f>
      </m:oMath>
    </w:p>
    <w:p w14:paraId="3432006B" w14:textId="77777777" w:rsidR="00FE16A6" w:rsidRPr="00FE16A6" w:rsidRDefault="00FE16A6" w:rsidP="00FE16A6">
      <w:pPr>
        <w:pStyle w:val="ListParagraph"/>
        <w:rPr>
          <w:rFonts w:eastAsiaTheme="minorEastAsia" w:cstheme="minorHAnsi"/>
          <w:sz w:val="24"/>
          <w:szCs w:val="24"/>
        </w:rPr>
      </w:pPr>
    </w:p>
    <w:p w14:paraId="3337E99A" w14:textId="75AD4E16" w:rsidR="00FE16A6" w:rsidRPr="00FE16A6" w:rsidRDefault="00FE16A6" w:rsidP="00FE16A6">
      <w:pPr>
        <w:pStyle w:val="ListParagraph"/>
        <w:rPr>
          <w:rFonts w:eastAsiaTheme="minorEastAsia" w:cstheme="minorHAnsi"/>
          <w:sz w:val="24"/>
          <w:szCs w:val="24"/>
        </w:rPr>
      </w:pPr>
      <w:r w:rsidRPr="00FE16A6">
        <w:rPr>
          <w:rFonts w:eastAsiaTheme="minorEastAsia" w:cstheme="minorHAnsi"/>
          <w:sz w:val="24"/>
          <w:szCs w:val="24"/>
        </w:rPr>
        <w:t>=2.284</w:t>
      </w:r>
    </w:p>
    <w:p w14:paraId="149992E9" w14:textId="77777777" w:rsidR="00FE16A6" w:rsidRPr="00FE16A6" w:rsidRDefault="00FE16A6" w:rsidP="00FE16A6">
      <w:pPr>
        <w:pStyle w:val="ListParagraph"/>
        <w:rPr>
          <w:rFonts w:cstheme="minorHAnsi"/>
          <w:sz w:val="24"/>
          <w:szCs w:val="24"/>
        </w:rPr>
      </w:pPr>
    </w:p>
    <w:sectPr w:rsidR="00FE16A6" w:rsidRPr="00FE1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D9F"/>
    <w:multiLevelType w:val="hybridMultilevel"/>
    <w:tmpl w:val="E7288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552C8"/>
    <w:multiLevelType w:val="hybridMultilevel"/>
    <w:tmpl w:val="B4F8F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1C61A9"/>
    <w:multiLevelType w:val="hybridMultilevel"/>
    <w:tmpl w:val="E7288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A6"/>
    <w:rsid w:val="00CC2600"/>
    <w:rsid w:val="00DD5EDB"/>
    <w:rsid w:val="00FE16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5F13"/>
  <w15:chartTrackingRefBased/>
  <w15:docId w15:val="{540BA0D9-3426-451D-85D8-EACA7A27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6A6"/>
    <w:pPr>
      <w:ind w:left="720"/>
      <w:contextualSpacing/>
    </w:pPr>
    <w:rPr>
      <w:lang w:val="en-US"/>
    </w:rPr>
  </w:style>
  <w:style w:type="table" w:styleId="TableGrid">
    <w:name w:val="Table Grid"/>
    <w:basedOn w:val="TableNormal"/>
    <w:uiPriority w:val="39"/>
    <w:rsid w:val="00FE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1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2</cp:revision>
  <dcterms:created xsi:type="dcterms:W3CDTF">2021-04-30T07:38:00Z</dcterms:created>
  <dcterms:modified xsi:type="dcterms:W3CDTF">2021-04-30T07:38:00Z</dcterms:modified>
</cp:coreProperties>
</file>