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A243" w14:textId="1ABE9DDE" w:rsidR="0025091D" w:rsidRDefault="0025091D" w:rsidP="0025091D">
      <w:pPr>
        <w:jc w:val="center"/>
        <w:rPr>
          <w:sz w:val="40"/>
          <w:szCs w:val="40"/>
        </w:rPr>
      </w:pPr>
      <w:r>
        <w:rPr>
          <w:sz w:val="40"/>
          <w:szCs w:val="40"/>
        </w:rPr>
        <w:t>NON-LIFE INSURANCE</w:t>
      </w:r>
    </w:p>
    <w:p w14:paraId="1DBB144F" w14:textId="51E86264" w:rsidR="0025091D" w:rsidRDefault="0025091D" w:rsidP="0025091D">
      <w:pPr>
        <w:jc w:val="center"/>
        <w:rPr>
          <w:sz w:val="28"/>
          <w:szCs w:val="28"/>
        </w:rPr>
      </w:pPr>
      <w:r>
        <w:rPr>
          <w:sz w:val="28"/>
          <w:szCs w:val="28"/>
        </w:rPr>
        <w:t>(ASSIGNMENT-1)</w:t>
      </w:r>
    </w:p>
    <w:p w14:paraId="5B136CDE" w14:textId="2950403E" w:rsidR="0025091D" w:rsidRDefault="0025091D" w:rsidP="0025091D">
      <w:pPr>
        <w:pStyle w:val="ListParagraph"/>
        <w:numPr>
          <w:ilvl w:val="0"/>
          <w:numId w:val="1"/>
        </w:numPr>
        <w:rPr>
          <w:rFonts w:ascii="Arial" w:hAnsi="Arial" w:cs="Arial"/>
          <w:sz w:val="24"/>
          <w:szCs w:val="24"/>
        </w:rPr>
      </w:pPr>
      <w:r>
        <w:rPr>
          <w:rFonts w:ascii="Arial" w:hAnsi="Arial" w:cs="Arial"/>
          <w:sz w:val="24"/>
          <w:szCs w:val="24"/>
        </w:rPr>
        <w:t>The premium collected by an insurance company for a portion of the policy that has expired is called earned premium (c)</w:t>
      </w:r>
    </w:p>
    <w:p w14:paraId="65FB3416" w14:textId="2C3EE06E" w:rsidR="0025091D" w:rsidRDefault="00651C3C" w:rsidP="0025091D">
      <w:pPr>
        <w:pStyle w:val="ListParagraph"/>
        <w:numPr>
          <w:ilvl w:val="0"/>
          <w:numId w:val="1"/>
        </w:numPr>
        <w:rPr>
          <w:rFonts w:ascii="Arial" w:hAnsi="Arial" w:cs="Arial"/>
          <w:sz w:val="24"/>
          <w:szCs w:val="24"/>
        </w:rPr>
      </w:pPr>
      <w:r>
        <w:rPr>
          <w:rFonts w:ascii="Arial" w:hAnsi="Arial" w:cs="Arial"/>
          <w:sz w:val="24"/>
          <w:szCs w:val="24"/>
        </w:rPr>
        <w:t xml:space="preserve">Surplus reinsurance is similar to quota share insurance as the reinsurer and </w:t>
      </w:r>
      <w:proofErr w:type="spellStart"/>
      <w:r>
        <w:rPr>
          <w:rFonts w:ascii="Arial" w:hAnsi="Arial" w:cs="Arial"/>
          <w:sz w:val="24"/>
          <w:szCs w:val="24"/>
        </w:rPr>
        <w:t>reinsured’s</w:t>
      </w:r>
      <w:proofErr w:type="spellEnd"/>
      <w:r>
        <w:rPr>
          <w:rFonts w:ascii="Arial" w:hAnsi="Arial" w:cs="Arial"/>
          <w:sz w:val="24"/>
          <w:szCs w:val="24"/>
        </w:rPr>
        <w:t xml:space="preserve"> share of the claim is proportionate.</w:t>
      </w:r>
      <w:r w:rsidR="00DB0AB8">
        <w:rPr>
          <w:rFonts w:ascii="Arial" w:hAnsi="Arial" w:cs="Arial"/>
          <w:sz w:val="24"/>
          <w:szCs w:val="24"/>
        </w:rPr>
        <w:t xml:space="preserve"> </w:t>
      </w:r>
      <w:proofErr w:type="gramStart"/>
      <w:r>
        <w:rPr>
          <w:rFonts w:ascii="Arial" w:hAnsi="Arial" w:cs="Arial"/>
          <w:sz w:val="24"/>
          <w:szCs w:val="24"/>
        </w:rPr>
        <w:t>(</w:t>
      </w:r>
      <w:proofErr w:type="gramEnd"/>
      <w:r>
        <w:rPr>
          <w:rFonts w:ascii="Arial" w:hAnsi="Arial" w:cs="Arial"/>
          <w:sz w:val="24"/>
          <w:szCs w:val="24"/>
        </w:rPr>
        <w:t>a)</w:t>
      </w:r>
    </w:p>
    <w:p w14:paraId="5FC1F972" w14:textId="7458EB2E" w:rsidR="00651C3C" w:rsidRDefault="00651C3C" w:rsidP="0025091D">
      <w:pPr>
        <w:pStyle w:val="ListParagraph"/>
        <w:numPr>
          <w:ilvl w:val="0"/>
          <w:numId w:val="1"/>
        </w:numPr>
        <w:rPr>
          <w:rFonts w:ascii="Arial" w:hAnsi="Arial" w:cs="Arial"/>
          <w:sz w:val="24"/>
          <w:szCs w:val="24"/>
        </w:rPr>
      </w:pPr>
      <w:r>
        <w:rPr>
          <w:rFonts w:ascii="Arial" w:hAnsi="Arial" w:cs="Arial"/>
          <w:sz w:val="24"/>
          <w:szCs w:val="24"/>
        </w:rPr>
        <w:t xml:space="preserve">It is true that an individual loss </w:t>
      </w:r>
      <w:r w:rsidR="0006780A">
        <w:rPr>
          <w:rFonts w:ascii="Arial" w:hAnsi="Arial" w:cs="Arial"/>
          <w:sz w:val="24"/>
          <w:szCs w:val="24"/>
        </w:rPr>
        <w:t>on an insured risk triggers the reinsurance coverage if it</w:t>
      </w:r>
      <w:r w:rsidR="00DB0AB8">
        <w:rPr>
          <w:rFonts w:ascii="Arial" w:hAnsi="Arial" w:cs="Arial"/>
          <w:sz w:val="24"/>
          <w:szCs w:val="24"/>
        </w:rPr>
        <w:t>’</w:t>
      </w:r>
      <w:r w:rsidR="0006780A">
        <w:rPr>
          <w:rFonts w:ascii="Arial" w:hAnsi="Arial" w:cs="Arial"/>
          <w:sz w:val="24"/>
          <w:szCs w:val="24"/>
        </w:rPr>
        <w:t>s exceeds the deductible, is described as an excess of loss per risk treaty. (a)</w:t>
      </w:r>
    </w:p>
    <w:p w14:paraId="133C76B0" w14:textId="3F2F7A36" w:rsidR="00DB0AB8" w:rsidRDefault="0006780A" w:rsidP="0025091D">
      <w:pPr>
        <w:pStyle w:val="ListParagraph"/>
        <w:numPr>
          <w:ilvl w:val="0"/>
          <w:numId w:val="1"/>
        </w:numPr>
        <w:rPr>
          <w:rFonts w:ascii="Arial" w:hAnsi="Arial" w:cs="Arial"/>
          <w:sz w:val="24"/>
          <w:szCs w:val="24"/>
        </w:rPr>
      </w:pPr>
      <w:r>
        <w:rPr>
          <w:rFonts w:ascii="Arial" w:hAnsi="Arial" w:cs="Arial"/>
          <w:sz w:val="24"/>
          <w:szCs w:val="24"/>
        </w:rPr>
        <w:t xml:space="preserve">It is true that </w:t>
      </w:r>
      <w:r w:rsidR="00DB0AB8">
        <w:rPr>
          <w:rFonts w:ascii="Arial" w:hAnsi="Arial" w:cs="Arial"/>
          <w:sz w:val="24"/>
          <w:szCs w:val="24"/>
        </w:rPr>
        <w:t>a non-proportional reinsurance is usually expressed as percentage of the risk a reinsurer is taking from the primary insurer.</w:t>
      </w:r>
      <w:r w:rsidR="0021341B">
        <w:rPr>
          <w:rFonts w:ascii="Arial" w:hAnsi="Arial" w:cs="Arial"/>
          <w:sz w:val="24"/>
          <w:szCs w:val="24"/>
        </w:rPr>
        <w:t xml:space="preserve"> (a)</w:t>
      </w:r>
    </w:p>
    <w:p w14:paraId="1A82A4E3" w14:textId="0B48D20F" w:rsidR="0006780A" w:rsidRDefault="00DB0AB8" w:rsidP="0025091D">
      <w:pPr>
        <w:pStyle w:val="ListParagraph"/>
        <w:numPr>
          <w:ilvl w:val="0"/>
          <w:numId w:val="1"/>
        </w:numPr>
        <w:rPr>
          <w:rFonts w:ascii="Arial" w:hAnsi="Arial" w:cs="Arial"/>
          <w:sz w:val="24"/>
          <w:szCs w:val="24"/>
        </w:rPr>
      </w:pPr>
      <w:r>
        <w:rPr>
          <w:rFonts w:ascii="Arial" w:hAnsi="Arial" w:cs="Arial"/>
          <w:sz w:val="24"/>
          <w:szCs w:val="24"/>
        </w:rPr>
        <w:t>It is true that a reinsurance contract is a contract of indemnity.</w:t>
      </w:r>
      <w:r w:rsidR="0021341B">
        <w:rPr>
          <w:rFonts w:ascii="Arial" w:hAnsi="Arial" w:cs="Arial"/>
          <w:sz w:val="24"/>
          <w:szCs w:val="24"/>
        </w:rPr>
        <w:t xml:space="preserve"> (a)</w:t>
      </w:r>
    </w:p>
    <w:p w14:paraId="71319B14" w14:textId="77777777" w:rsidR="00507640" w:rsidRDefault="00507640" w:rsidP="0025091D">
      <w:pPr>
        <w:pStyle w:val="ListParagraph"/>
        <w:numPr>
          <w:ilvl w:val="0"/>
          <w:numId w:val="1"/>
        </w:numPr>
        <w:rPr>
          <w:rFonts w:ascii="Arial" w:hAnsi="Arial" w:cs="Arial"/>
          <w:sz w:val="24"/>
          <w:szCs w:val="24"/>
        </w:rPr>
      </w:pPr>
    </w:p>
    <w:p w14:paraId="54BB3075" w14:textId="11E46F07" w:rsidR="00DB0AB8" w:rsidRPr="00507640" w:rsidRDefault="00DB0AB8" w:rsidP="00507640">
      <w:pPr>
        <w:pStyle w:val="ListParagraph"/>
        <w:numPr>
          <w:ilvl w:val="0"/>
          <w:numId w:val="4"/>
        </w:numPr>
        <w:rPr>
          <w:rFonts w:ascii="Arial" w:hAnsi="Arial" w:cs="Arial"/>
          <w:sz w:val="24"/>
          <w:szCs w:val="24"/>
        </w:rPr>
      </w:pPr>
      <w:r w:rsidRPr="00507640">
        <w:rPr>
          <w:rFonts w:ascii="Arial" w:hAnsi="Arial" w:cs="Arial"/>
          <w:color w:val="202124"/>
          <w:sz w:val="24"/>
          <w:szCs w:val="24"/>
          <w:shd w:val="clear" w:color="auto" w:fill="FFFFFF"/>
        </w:rPr>
        <w:t>Reinsurance</w:t>
      </w:r>
      <w:r w:rsidRPr="00507640">
        <w:rPr>
          <w:rFonts w:ascii="Arial" w:hAnsi="Arial" w:cs="Arial"/>
          <w:color w:val="202124"/>
          <w:sz w:val="24"/>
          <w:szCs w:val="24"/>
          <w:shd w:val="clear" w:color="auto" w:fill="FFFFFF"/>
        </w:rPr>
        <w:t xml:space="preserve"> is a process whereby one entity (the reinsurer) takes on all or part of the risk covered under a policy issued by an insurance company in consideration of a premium payment. In other words, it is a form of an insurance cover for insurance companies.</w:t>
      </w:r>
      <w:r w:rsidRPr="00507640">
        <w:rPr>
          <w:rFonts w:ascii="Arial" w:hAnsi="Arial" w:cs="Arial"/>
          <w:color w:val="202124"/>
          <w:sz w:val="24"/>
          <w:szCs w:val="24"/>
          <w:shd w:val="clear" w:color="auto" w:fill="FFFFFF"/>
        </w:rPr>
        <w:t xml:space="preserve"> </w:t>
      </w:r>
    </w:p>
    <w:p w14:paraId="03841532" w14:textId="5F747932" w:rsidR="00510305" w:rsidRPr="00510305" w:rsidRDefault="00510305" w:rsidP="00510305">
      <w:pPr>
        <w:pStyle w:val="ListParagraph"/>
        <w:numPr>
          <w:ilvl w:val="0"/>
          <w:numId w:val="4"/>
        </w:numPr>
        <w:rPr>
          <w:rFonts w:ascii="Arial" w:hAnsi="Arial" w:cs="Arial"/>
          <w:sz w:val="24"/>
          <w:szCs w:val="24"/>
        </w:rPr>
      </w:pPr>
      <w:r>
        <w:rPr>
          <w:rFonts w:ascii="Arial" w:hAnsi="Arial" w:cs="Arial"/>
          <w:color w:val="202124"/>
          <w:sz w:val="24"/>
          <w:szCs w:val="24"/>
          <w:shd w:val="clear" w:color="auto" w:fill="FFFFFF"/>
        </w:rPr>
        <w:t>It can be divided into two basic categories: treaty and facultative.</w:t>
      </w:r>
    </w:p>
    <w:p w14:paraId="6E2A8BFC" w14:textId="125A6A27" w:rsidR="00510305" w:rsidRPr="00510305" w:rsidRDefault="00510305" w:rsidP="00510305">
      <w:pPr>
        <w:pStyle w:val="ListParagraph"/>
        <w:numPr>
          <w:ilvl w:val="0"/>
          <w:numId w:val="4"/>
        </w:numPr>
        <w:rPr>
          <w:rFonts w:ascii="Arial" w:hAnsi="Arial" w:cs="Arial"/>
          <w:sz w:val="24"/>
          <w:szCs w:val="24"/>
        </w:rPr>
      </w:pPr>
      <w:r w:rsidRPr="00510305">
        <w:rPr>
          <w:rFonts w:ascii="Arial" w:hAnsi="Arial" w:cs="Arial"/>
          <w:color w:val="505050"/>
          <w:sz w:val="24"/>
          <w:szCs w:val="24"/>
        </w:rPr>
        <w:t> Treaties are agreements that cover broad groups of policies such as all of a primary insurer’s auto business. Facultative covers specific individual, generally high-value or hazardous risks, such as a hospital, that would not be accepted under a treaty.</w:t>
      </w:r>
    </w:p>
    <w:p w14:paraId="46968568" w14:textId="3821AB4D" w:rsidR="00510305" w:rsidRDefault="00522E4D" w:rsidP="00510305">
      <w:pPr>
        <w:pStyle w:val="ListParagraph"/>
        <w:numPr>
          <w:ilvl w:val="0"/>
          <w:numId w:val="1"/>
        </w:numPr>
        <w:rPr>
          <w:rFonts w:ascii="Arial" w:hAnsi="Arial" w:cs="Arial"/>
          <w:color w:val="505050"/>
          <w:sz w:val="24"/>
          <w:szCs w:val="24"/>
        </w:rPr>
      </w:pPr>
      <w:r>
        <w:rPr>
          <w:rFonts w:ascii="Arial" w:hAnsi="Arial" w:cs="Arial"/>
          <w:color w:val="505050"/>
          <w:sz w:val="24"/>
          <w:szCs w:val="24"/>
        </w:rPr>
        <w:t>The difference between stop loss insurance and excess loss of insurance is that in excess of loss reinsurance, the reinsurer indemnifies the ceding company for losses that exceed a certain limit where as in stop loss reinsurance an agreement is made whereby a reinsurer assumes on a per loss basis all loss amounts of the reinsured, subject to the policy limit, in excess of the stated amount.</w:t>
      </w:r>
    </w:p>
    <w:p w14:paraId="7EB57A7E" w14:textId="7F678EBB" w:rsidR="00522E4D" w:rsidRDefault="00522E4D" w:rsidP="00510305">
      <w:pPr>
        <w:pStyle w:val="ListParagraph"/>
        <w:numPr>
          <w:ilvl w:val="0"/>
          <w:numId w:val="1"/>
        </w:numPr>
        <w:rPr>
          <w:rFonts w:ascii="Arial" w:hAnsi="Arial" w:cs="Arial"/>
          <w:color w:val="505050"/>
          <w:sz w:val="24"/>
          <w:szCs w:val="24"/>
        </w:rPr>
      </w:pPr>
      <w:r>
        <w:rPr>
          <w:rFonts w:ascii="Arial" w:hAnsi="Arial" w:cs="Arial"/>
          <w:color w:val="505050"/>
          <w:sz w:val="24"/>
          <w:szCs w:val="24"/>
        </w:rPr>
        <w:t>The various ratios used in profit analysis of reinsurance are as follows:</w:t>
      </w:r>
    </w:p>
    <w:tbl>
      <w:tblPr>
        <w:tblStyle w:val="TableGrid"/>
        <w:tblW w:w="0" w:type="auto"/>
        <w:tblInd w:w="1440" w:type="dxa"/>
        <w:tblLook w:val="04A0" w:firstRow="1" w:lastRow="0" w:firstColumn="1" w:lastColumn="0" w:noHBand="0" w:noVBand="1"/>
      </w:tblPr>
      <w:tblGrid>
        <w:gridCol w:w="2420"/>
        <w:gridCol w:w="2508"/>
        <w:gridCol w:w="2648"/>
      </w:tblGrid>
      <w:tr w:rsidR="006A3AF7" w14:paraId="15FC5C07" w14:textId="77777777" w:rsidTr="006A3AF7">
        <w:tc>
          <w:tcPr>
            <w:tcW w:w="3005" w:type="dxa"/>
          </w:tcPr>
          <w:p w14:paraId="4A1850AE" w14:textId="10AC9C26" w:rsidR="006A3AF7" w:rsidRDefault="006A3AF7" w:rsidP="00D14818">
            <w:pPr>
              <w:pStyle w:val="ListParagraph"/>
              <w:ind w:left="0"/>
              <w:jc w:val="center"/>
              <w:rPr>
                <w:rFonts w:ascii="Arial" w:hAnsi="Arial" w:cs="Arial"/>
                <w:color w:val="505050"/>
                <w:sz w:val="24"/>
                <w:szCs w:val="24"/>
              </w:rPr>
            </w:pPr>
            <w:r>
              <w:rPr>
                <w:rFonts w:ascii="Arial" w:hAnsi="Arial" w:cs="Arial"/>
                <w:color w:val="505050"/>
                <w:sz w:val="24"/>
                <w:szCs w:val="24"/>
              </w:rPr>
              <w:t>RATIO</w:t>
            </w:r>
          </w:p>
        </w:tc>
        <w:tc>
          <w:tcPr>
            <w:tcW w:w="3005" w:type="dxa"/>
          </w:tcPr>
          <w:p w14:paraId="21DC08BE" w14:textId="5ED43C30" w:rsidR="006A3AF7" w:rsidRDefault="006A3AF7" w:rsidP="00D14818">
            <w:pPr>
              <w:pStyle w:val="ListParagraph"/>
              <w:ind w:left="0"/>
              <w:jc w:val="center"/>
              <w:rPr>
                <w:rFonts w:ascii="Arial" w:hAnsi="Arial" w:cs="Arial"/>
                <w:color w:val="505050"/>
                <w:sz w:val="24"/>
                <w:szCs w:val="24"/>
              </w:rPr>
            </w:pPr>
            <w:r>
              <w:rPr>
                <w:rFonts w:ascii="Arial" w:hAnsi="Arial" w:cs="Arial"/>
                <w:color w:val="505050"/>
                <w:sz w:val="24"/>
                <w:szCs w:val="24"/>
              </w:rPr>
              <w:t>FORMULA</w:t>
            </w:r>
          </w:p>
        </w:tc>
        <w:tc>
          <w:tcPr>
            <w:tcW w:w="3006" w:type="dxa"/>
          </w:tcPr>
          <w:p w14:paraId="11481939" w14:textId="395F9205" w:rsidR="006A3AF7" w:rsidRDefault="006A3AF7" w:rsidP="00D14818">
            <w:pPr>
              <w:pStyle w:val="ListParagraph"/>
              <w:ind w:left="0"/>
              <w:jc w:val="center"/>
              <w:rPr>
                <w:rFonts w:ascii="Arial" w:hAnsi="Arial" w:cs="Arial"/>
                <w:color w:val="505050"/>
                <w:sz w:val="24"/>
                <w:szCs w:val="24"/>
              </w:rPr>
            </w:pPr>
            <w:r>
              <w:rPr>
                <w:rFonts w:ascii="Arial" w:hAnsi="Arial" w:cs="Arial"/>
                <w:color w:val="505050"/>
                <w:sz w:val="24"/>
                <w:szCs w:val="24"/>
              </w:rPr>
              <w:t>SIGNIFICANCE IN ANALYSIS</w:t>
            </w:r>
          </w:p>
        </w:tc>
      </w:tr>
      <w:tr w:rsidR="006A3AF7" w14:paraId="0C4F669D" w14:textId="77777777" w:rsidTr="006A3AF7">
        <w:tc>
          <w:tcPr>
            <w:tcW w:w="3005" w:type="dxa"/>
          </w:tcPr>
          <w:p w14:paraId="0D63347D" w14:textId="21DE1634" w:rsidR="006A3AF7" w:rsidRDefault="006A3AF7" w:rsidP="006A3AF7">
            <w:pPr>
              <w:pStyle w:val="ListParagraph"/>
              <w:ind w:left="0"/>
              <w:rPr>
                <w:rFonts w:ascii="Arial" w:hAnsi="Arial" w:cs="Arial"/>
                <w:color w:val="505050"/>
                <w:sz w:val="24"/>
                <w:szCs w:val="24"/>
              </w:rPr>
            </w:pPr>
            <w:r>
              <w:t>Premium Growth</w:t>
            </w:r>
          </w:p>
        </w:tc>
        <w:tc>
          <w:tcPr>
            <w:tcW w:w="3005" w:type="dxa"/>
          </w:tcPr>
          <w:p w14:paraId="630C1FB4" w14:textId="602C0A43" w:rsidR="006A3AF7" w:rsidRDefault="006A3AF7" w:rsidP="006A3AF7">
            <w:pPr>
              <w:pStyle w:val="ListParagraph"/>
              <w:ind w:left="0"/>
            </w:pPr>
            <w:r>
              <w:t xml:space="preserve">GPWT – GPWT-1 * 100 </w:t>
            </w:r>
            <w:r>
              <w:t>/</w:t>
            </w:r>
            <w:r>
              <w:t>GPWT-1 GPW:</w:t>
            </w:r>
          </w:p>
          <w:p w14:paraId="3F9C09AD" w14:textId="77777777" w:rsidR="006A3AF7" w:rsidRDefault="006A3AF7" w:rsidP="006A3AF7">
            <w:pPr>
              <w:pStyle w:val="ListParagraph"/>
              <w:ind w:left="0"/>
            </w:pPr>
            <w:r>
              <w:t xml:space="preserve"> Gross Premium Written T: Current year </w:t>
            </w:r>
          </w:p>
          <w:p w14:paraId="31E15EE0" w14:textId="632939D2" w:rsidR="006A3AF7" w:rsidRDefault="006A3AF7" w:rsidP="006A3AF7">
            <w:pPr>
              <w:pStyle w:val="ListParagraph"/>
              <w:ind w:left="0"/>
              <w:rPr>
                <w:rFonts w:ascii="Arial" w:hAnsi="Arial" w:cs="Arial"/>
                <w:color w:val="505050"/>
                <w:sz w:val="24"/>
                <w:szCs w:val="24"/>
              </w:rPr>
            </w:pPr>
            <w:r>
              <w:t>T-1: Previous year</w:t>
            </w:r>
          </w:p>
        </w:tc>
        <w:tc>
          <w:tcPr>
            <w:tcW w:w="3006" w:type="dxa"/>
          </w:tcPr>
          <w:p w14:paraId="2E018B72" w14:textId="4AFE9D4E" w:rsidR="006A3AF7" w:rsidRDefault="006A3AF7" w:rsidP="006A3AF7">
            <w:pPr>
              <w:pStyle w:val="ListParagraph"/>
              <w:ind w:left="0"/>
              <w:rPr>
                <w:rFonts w:ascii="Arial" w:hAnsi="Arial" w:cs="Arial"/>
                <w:color w:val="505050"/>
                <w:sz w:val="24"/>
                <w:szCs w:val="24"/>
              </w:rPr>
            </w:pPr>
            <w:r>
              <w:t>Indicates growth in business undertaken by the insurance entity.</w:t>
            </w:r>
          </w:p>
        </w:tc>
      </w:tr>
      <w:tr w:rsidR="006A3AF7" w14:paraId="7F13A920" w14:textId="77777777" w:rsidTr="006A3AF7">
        <w:tc>
          <w:tcPr>
            <w:tcW w:w="3005" w:type="dxa"/>
          </w:tcPr>
          <w:p w14:paraId="5D20527A" w14:textId="1C75C768" w:rsidR="006A3AF7" w:rsidRDefault="006A3AF7" w:rsidP="006A3AF7">
            <w:pPr>
              <w:pStyle w:val="ListParagraph"/>
              <w:ind w:left="0"/>
              <w:rPr>
                <w:rFonts w:ascii="Arial" w:hAnsi="Arial" w:cs="Arial"/>
                <w:color w:val="505050"/>
                <w:sz w:val="24"/>
                <w:szCs w:val="24"/>
              </w:rPr>
            </w:pPr>
            <w:r>
              <w:t>Risk Retention</w:t>
            </w:r>
          </w:p>
        </w:tc>
        <w:tc>
          <w:tcPr>
            <w:tcW w:w="3005" w:type="dxa"/>
          </w:tcPr>
          <w:p w14:paraId="3C08EA10" w14:textId="12AA4381" w:rsidR="006A3AF7" w:rsidRDefault="006A3AF7" w:rsidP="006A3AF7">
            <w:pPr>
              <w:pStyle w:val="ListParagraph"/>
              <w:ind w:left="0"/>
              <w:rPr>
                <w:rFonts w:ascii="Arial" w:hAnsi="Arial" w:cs="Arial"/>
                <w:color w:val="505050"/>
                <w:sz w:val="24"/>
                <w:szCs w:val="24"/>
              </w:rPr>
            </w:pPr>
            <w:r>
              <w:t>Net Premium Written</w:t>
            </w:r>
            <w:r>
              <w:t>/</w:t>
            </w:r>
            <w:r>
              <w:t>Gross Premium Written</w:t>
            </w:r>
          </w:p>
        </w:tc>
        <w:tc>
          <w:tcPr>
            <w:tcW w:w="3006" w:type="dxa"/>
          </w:tcPr>
          <w:p w14:paraId="3D083630" w14:textId="7D2B788C" w:rsidR="006A3AF7" w:rsidRDefault="006A3AF7" w:rsidP="006A3AF7">
            <w:pPr>
              <w:pStyle w:val="ListParagraph"/>
              <w:ind w:left="0"/>
              <w:rPr>
                <w:rFonts w:ascii="Arial" w:hAnsi="Arial" w:cs="Arial"/>
                <w:color w:val="505050"/>
                <w:sz w:val="24"/>
                <w:szCs w:val="24"/>
              </w:rPr>
            </w:pPr>
            <w:r>
              <w:t>Indicates the level of risks retained by the insurer vis-à-vis that ceded to reinsurers. Reinsurance plays an essential role in the risk spreading process</w:t>
            </w:r>
            <w:r>
              <w:t>.</w:t>
            </w:r>
          </w:p>
        </w:tc>
      </w:tr>
      <w:tr w:rsidR="006A3AF7" w14:paraId="2F9B6413" w14:textId="77777777" w:rsidTr="006A3AF7">
        <w:tc>
          <w:tcPr>
            <w:tcW w:w="3005" w:type="dxa"/>
          </w:tcPr>
          <w:p w14:paraId="304C1ABA" w14:textId="09D98BEA" w:rsidR="006A3AF7" w:rsidRDefault="006A3AF7" w:rsidP="006A3AF7">
            <w:pPr>
              <w:pStyle w:val="ListParagraph"/>
              <w:ind w:left="0"/>
              <w:rPr>
                <w:rFonts w:ascii="Arial" w:hAnsi="Arial" w:cs="Arial"/>
                <w:color w:val="505050"/>
                <w:sz w:val="24"/>
                <w:szCs w:val="24"/>
              </w:rPr>
            </w:pPr>
            <w:r>
              <w:t>Loss Ratio</w:t>
            </w:r>
          </w:p>
        </w:tc>
        <w:tc>
          <w:tcPr>
            <w:tcW w:w="3005" w:type="dxa"/>
          </w:tcPr>
          <w:p w14:paraId="72AA0CD6" w14:textId="1D7E804A" w:rsidR="006A3AF7" w:rsidRDefault="006A3AF7" w:rsidP="006A3AF7">
            <w:pPr>
              <w:pStyle w:val="ListParagraph"/>
              <w:ind w:left="0"/>
              <w:rPr>
                <w:rFonts w:ascii="Arial" w:hAnsi="Arial" w:cs="Arial"/>
                <w:color w:val="505050"/>
                <w:sz w:val="24"/>
                <w:szCs w:val="24"/>
              </w:rPr>
            </w:pPr>
            <w:r>
              <w:t xml:space="preserve">Net Claims Incurred * 100 </w:t>
            </w:r>
            <w:r>
              <w:t>/</w:t>
            </w:r>
            <w:r>
              <w:t>Net Premium Earned</w:t>
            </w:r>
          </w:p>
        </w:tc>
        <w:tc>
          <w:tcPr>
            <w:tcW w:w="3006" w:type="dxa"/>
          </w:tcPr>
          <w:p w14:paraId="00BB6196" w14:textId="4D427161" w:rsidR="006A3AF7" w:rsidRDefault="006A3AF7" w:rsidP="006A3AF7">
            <w:pPr>
              <w:pStyle w:val="ListParagraph"/>
              <w:ind w:left="0"/>
              <w:rPr>
                <w:rFonts w:ascii="Arial" w:hAnsi="Arial" w:cs="Arial"/>
                <w:color w:val="505050"/>
                <w:sz w:val="24"/>
                <w:szCs w:val="24"/>
              </w:rPr>
            </w:pPr>
            <w:r>
              <w:t xml:space="preserve">The ratio measures the company’s loss experience as a proportion of premium income earned </w:t>
            </w:r>
            <w:r>
              <w:lastRenderedPageBreak/>
              <w:t>during the year. The loss ratio is a reflection on the nature of risk underwritten and the adequacy or inadequacy of pricing of risks.</w:t>
            </w:r>
          </w:p>
        </w:tc>
      </w:tr>
      <w:tr w:rsidR="006A3AF7" w14:paraId="5EAFD351" w14:textId="77777777" w:rsidTr="006A3AF7">
        <w:tc>
          <w:tcPr>
            <w:tcW w:w="3005" w:type="dxa"/>
          </w:tcPr>
          <w:p w14:paraId="775B09A9" w14:textId="7B23611E" w:rsidR="006A3AF7" w:rsidRDefault="006A3AF7" w:rsidP="006A3AF7">
            <w:pPr>
              <w:pStyle w:val="ListParagraph"/>
              <w:ind w:left="0"/>
              <w:rPr>
                <w:rFonts w:ascii="Arial" w:hAnsi="Arial" w:cs="Arial"/>
                <w:color w:val="505050"/>
                <w:sz w:val="24"/>
                <w:szCs w:val="24"/>
              </w:rPr>
            </w:pPr>
            <w:r>
              <w:lastRenderedPageBreak/>
              <w:t>Expense Ratio</w:t>
            </w:r>
          </w:p>
        </w:tc>
        <w:tc>
          <w:tcPr>
            <w:tcW w:w="3005" w:type="dxa"/>
          </w:tcPr>
          <w:p w14:paraId="7A8E9F26" w14:textId="0A77629B" w:rsidR="006A3AF7" w:rsidRDefault="006A3AF7" w:rsidP="006A3AF7">
            <w:pPr>
              <w:pStyle w:val="ListParagraph"/>
              <w:ind w:left="0"/>
              <w:rPr>
                <w:rFonts w:ascii="Arial" w:hAnsi="Arial" w:cs="Arial"/>
                <w:color w:val="505050"/>
                <w:sz w:val="24"/>
                <w:szCs w:val="24"/>
              </w:rPr>
            </w:pPr>
            <w:r>
              <w:t>Management Expense +</w:t>
            </w:r>
            <w:proofErr w:type="gramStart"/>
            <w:r>
              <w:t>/(</w:t>
            </w:r>
            <w:proofErr w:type="gramEnd"/>
            <w:r>
              <w:t>-) Net Commission Paid/(Earned) * 100</w:t>
            </w:r>
            <w:r>
              <w:t>/</w:t>
            </w:r>
            <w:r>
              <w:t xml:space="preserve"> Net Premium Earned</w:t>
            </w:r>
          </w:p>
        </w:tc>
        <w:tc>
          <w:tcPr>
            <w:tcW w:w="3006" w:type="dxa"/>
          </w:tcPr>
          <w:p w14:paraId="4C7C7C0D" w14:textId="3165ACCB" w:rsidR="006A3AF7" w:rsidRDefault="006A3AF7" w:rsidP="006A3AF7">
            <w:pPr>
              <w:pStyle w:val="ListParagraph"/>
              <w:ind w:left="0"/>
              <w:rPr>
                <w:rFonts w:ascii="Arial" w:hAnsi="Arial" w:cs="Arial"/>
                <w:color w:val="505050"/>
                <w:sz w:val="24"/>
                <w:szCs w:val="24"/>
              </w:rPr>
            </w:pPr>
            <w:r>
              <w:t xml:space="preserve">Expense ratio reflects the efficiency of insurance operations. Expense ratio for an insurer is </w:t>
            </w:r>
            <w:proofErr w:type="spellStart"/>
            <w:r>
              <w:t>analyzed</w:t>
            </w:r>
            <w:proofErr w:type="spellEnd"/>
            <w:r>
              <w:t xml:space="preserve"> by class of business, along with the trend of the same.</w:t>
            </w:r>
          </w:p>
        </w:tc>
      </w:tr>
      <w:tr w:rsidR="006A3AF7" w14:paraId="380B286E" w14:textId="77777777" w:rsidTr="006A3AF7">
        <w:tc>
          <w:tcPr>
            <w:tcW w:w="3005" w:type="dxa"/>
          </w:tcPr>
          <w:p w14:paraId="1A4AA70A" w14:textId="3019472A" w:rsidR="006A3AF7" w:rsidRDefault="00D14818" w:rsidP="006A3AF7">
            <w:pPr>
              <w:pStyle w:val="ListParagraph"/>
              <w:ind w:left="0"/>
              <w:rPr>
                <w:rFonts w:ascii="Arial" w:hAnsi="Arial" w:cs="Arial"/>
                <w:color w:val="505050"/>
                <w:sz w:val="24"/>
                <w:szCs w:val="24"/>
              </w:rPr>
            </w:pPr>
            <w:r>
              <w:t>Combined Ratio</w:t>
            </w:r>
          </w:p>
        </w:tc>
        <w:tc>
          <w:tcPr>
            <w:tcW w:w="3005" w:type="dxa"/>
          </w:tcPr>
          <w:p w14:paraId="3CF6F197" w14:textId="278007BA" w:rsidR="006A3AF7" w:rsidRDefault="00D14818" w:rsidP="006A3AF7">
            <w:pPr>
              <w:pStyle w:val="ListParagraph"/>
              <w:ind w:left="0"/>
              <w:rPr>
                <w:rFonts w:ascii="Arial" w:hAnsi="Arial" w:cs="Arial"/>
                <w:color w:val="505050"/>
                <w:sz w:val="24"/>
                <w:szCs w:val="24"/>
              </w:rPr>
            </w:pPr>
            <w:r>
              <w:t>Loss Ratio + Expense Ratio</w:t>
            </w:r>
          </w:p>
        </w:tc>
        <w:tc>
          <w:tcPr>
            <w:tcW w:w="3006" w:type="dxa"/>
          </w:tcPr>
          <w:p w14:paraId="689F0838" w14:textId="5AC9EE82" w:rsidR="006A3AF7" w:rsidRDefault="00D14818" w:rsidP="006A3AF7">
            <w:pPr>
              <w:pStyle w:val="ListParagraph"/>
              <w:ind w:left="0"/>
              <w:rPr>
                <w:rFonts w:ascii="Arial" w:hAnsi="Arial" w:cs="Arial"/>
                <w:color w:val="505050"/>
                <w:sz w:val="24"/>
                <w:szCs w:val="24"/>
              </w:rPr>
            </w:pPr>
            <w:r>
              <w:t>Combined ratio is a measure of underwriting profitability of an insurance company after factoring claims expenses and operating expenses of the insurer</w:t>
            </w:r>
            <w:r>
              <w:t>.</w:t>
            </w:r>
          </w:p>
        </w:tc>
      </w:tr>
      <w:tr w:rsidR="006A3AF7" w14:paraId="6A04A123" w14:textId="77777777" w:rsidTr="006A3AF7">
        <w:tc>
          <w:tcPr>
            <w:tcW w:w="3005" w:type="dxa"/>
          </w:tcPr>
          <w:p w14:paraId="1F1AE6DE" w14:textId="70E93A30" w:rsidR="006A3AF7" w:rsidRDefault="00D14818" w:rsidP="006A3AF7">
            <w:pPr>
              <w:pStyle w:val="ListParagraph"/>
              <w:ind w:left="0"/>
              <w:rPr>
                <w:rFonts w:ascii="Arial" w:hAnsi="Arial" w:cs="Arial"/>
                <w:color w:val="505050"/>
                <w:sz w:val="24"/>
                <w:szCs w:val="24"/>
              </w:rPr>
            </w:pPr>
            <w:r>
              <w:t>Investment Yield</w:t>
            </w:r>
          </w:p>
        </w:tc>
        <w:tc>
          <w:tcPr>
            <w:tcW w:w="3005" w:type="dxa"/>
          </w:tcPr>
          <w:p w14:paraId="6617A37E" w14:textId="0F556C21" w:rsidR="006A3AF7" w:rsidRDefault="00D14818" w:rsidP="006A3AF7">
            <w:pPr>
              <w:pStyle w:val="ListParagraph"/>
              <w:ind w:left="0"/>
              <w:rPr>
                <w:rFonts w:ascii="Arial" w:hAnsi="Arial" w:cs="Arial"/>
                <w:color w:val="505050"/>
                <w:sz w:val="24"/>
                <w:szCs w:val="24"/>
              </w:rPr>
            </w:pPr>
            <w:r>
              <w:t>Total Investment Income</w:t>
            </w:r>
            <w:r>
              <w:t>/</w:t>
            </w:r>
            <w:r>
              <w:t xml:space="preserve"> Average Total Investments</w:t>
            </w:r>
          </w:p>
        </w:tc>
        <w:tc>
          <w:tcPr>
            <w:tcW w:w="3006" w:type="dxa"/>
          </w:tcPr>
          <w:p w14:paraId="33E8189A" w14:textId="693CAE09" w:rsidR="006A3AF7" w:rsidRDefault="00D14818" w:rsidP="006A3AF7">
            <w:pPr>
              <w:pStyle w:val="ListParagraph"/>
              <w:ind w:left="0"/>
              <w:rPr>
                <w:rFonts w:ascii="Arial" w:hAnsi="Arial" w:cs="Arial"/>
                <w:color w:val="505050"/>
                <w:sz w:val="24"/>
                <w:szCs w:val="24"/>
              </w:rPr>
            </w:pPr>
            <w:r>
              <w:t>This ratio measures the average return on the company’s invested assets before and after capital gains and losses. While calculating the investment yield including capital gains, both realized as well as unrealized capital gains are considered.</w:t>
            </w:r>
          </w:p>
        </w:tc>
      </w:tr>
      <w:tr w:rsidR="006A3AF7" w14:paraId="677F5E11" w14:textId="77777777" w:rsidTr="006A3AF7">
        <w:tc>
          <w:tcPr>
            <w:tcW w:w="3005" w:type="dxa"/>
          </w:tcPr>
          <w:p w14:paraId="4EA6A9B6" w14:textId="2762A77A" w:rsidR="006A3AF7" w:rsidRDefault="00D14818" w:rsidP="006A3AF7">
            <w:pPr>
              <w:pStyle w:val="ListParagraph"/>
              <w:ind w:left="0"/>
              <w:rPr>
                <w:rFonts w:ascii="Arial" w:hAnsi="Arial" w:cs="Arial"/>
                <w:color w:val="505050"/>
                <w:sz w:val="24"/>
                <w:szCs w:val="24"/>
              </w:rPr>
            </w:pPr>
            <w:r>
              <w:t>Net Earnings Ratio</w:t>
            </w:r>
          </w:p>
        </w:tc>
        <w:tc>
          <w:tcPr>
            <w:tcW w:w="3005" w:type="dxa"/>
          </w:tcPr>
          <w:p w14:paraId="6AC97778" w14:textId="5AEC9BA2" w:rsidR="006A3AF7" w:rsidRDefault="00D14818" w:rsidP="006A3AF7">
            <w:pPr>
              <w:pStyle w:val="ListParagraph"/>
              <w:ind w:left="0"/>
              <w:rPr>
                <w:rFonts w:ascii="Arial" w:hAnsi="Arial" w:cs="Arial"/>
                <w:color w:val="505050"/>
                <w:sz w:val="24"/>
                <w:szCs w:val="24"/>
              </w:rPr>
            </w:pPr>
            <w:r>
              <w:t>Profit After Tax</w:t>
            </w:r>
            <w:r>
              <w:t>/</w:t>
            </w:r>
            <w:r>
              <w:t xml:space="preserve"> Net Premium Written</w:t>
            </w:r>
          </w:p>
        </w:tc>
        <w:tc>
          <w:tcPr>
            <w:tcW w:w="3006" w:type="dxa"/>
          </w:tcPr>
          <w:p w14:paraId="4DF913F4" w14:textId="39C932A1" w:rsidR="006A3AF7" w:rsidRDefault="00D14818" w:rsidP="006A3AF7">
            <w:pPr>
              <w:pStyle w:val="ListParagraph"/>
              <w:ind w:left="0"/>
              <w:rPr>
                <w:rFonts w:ascii="Arial" w:hAnsi="Arial" w:cs="Arial"/>
                <w:color w:val="505050"/>
                <w:sz w:val="24"/>
                <w:szCs w:val="24"/>
              </w:rPr>
            </w:pPr>
            <w:r>
              <w:t>This ratio measures the overall profitability of an insurer after factoring underwriting result, operating expenses as well as investment income and tax.</w:t>
            </w:r>
          </w:p>
        </w:tc>
      </w:tr>
      <w:tr w:rsidR="006A3AF7" w14:paraId="277BA71C" w14:textId="77777777" w:rsidTr="006A3AF7">
        <w:tc>
          <w:tcPr>
            <w:tcW w:w="3005" w:type="dxa"/>
          </w:tcPr>
          <w:p w14:paraId="1C4897A2" w14:textId="3CE0364C" w:rsidR="006A3AF7" w:rsidRDefault="00D14818" w:rsidP="006A3AF7">
            <w:pPr>
              <w:pStyle w:val="ListParagraph"/>
              <w:ind w:left="0"/>
              <w:rPr>
                <w:rFonts w:ascii="Arial" w:hAnsi="Arial" w:cs="Arial"/>
                <w:color w:val="505050"/>
                <w:sz w:val="24"/>
                <w:szCs w:val="24"/>
              </w:rPr>
            </w:pPr>
            <w:r>
              <w:t>Return on Net</w:t>
            </w:r>
            <w:r>
              <w:t xml:space="preserve"> </w:t>
            </w:r>
            <w:r>
              <w:t>worth</w:t>
            </w:r>
          </w:p>
        </w:tc>
        <w:tc>
          <w:tcPr>
            <w:tcW w:w="3005" w:type="dxa"/>
          </w:tcPr>
          <w:p w14:paraId="27EDD315" w14:textId="008FDD2D" w:rsidR="006A3AF7" w:rsidRDefault="00D14818" w:rsidP="006A3AF7">
            <w:pPr>
              <w:pStyle w:val="ListParagraph"/>
              <w:ind w:left="0"/>
              <w:rPr>
                <w:rFonts w:ascii="Arial" w:hAnsi="Arial" w:cs="Arial"/>
                <w:color w:val="505050"/>
                <w:sz w:val="24"/>
                <w:szCs w:val="24"/>
              </w:rPr>
            </w:pPr>
            <w:r>
              <w:t>Profit After Tax</w:t>
            </w:r>
            <w:r>
              <w:t>/</w:t>
            </w:r>
            <w:r>
              <w:t>Average Net</w:t>
            </w:r>
            <w:r>
              <w:t xml:space="preserve"> </w:t>
            </w:r>
            <w:r>
              <w:t>worth</w:t>
            </w:r>
          </w:p>
        </w:tc>
        <w:tc>
          <w:tcPr>
            <w:tcW w:w="3006" w:type="dxa"/>
          </w:tcPr>
          <w:p w14:paraId="69C78D11" w14:textId="2A24B97A" w:rsidR="006A3AF7" w:rsidRDefault="00D14818" w:rsidP="006A3AF7">
            <w:pPr>
              <w:pStyle w:val="ListParagraph"/>
              <w:ind w:left="0"/>
              <w:rPr>
                <w:rFonts w:ascii="Arial" w:hAnsi="Arial" w:cs="Arial"/>
                <w:color w:val="505050"/>
                <w:sz w:val="24"/>
                <w:szCs w:val="24"/>
              </w:rPr>
            </w:pPr>
            <w:r>
              <w:t>This ratio reflects the post-tax return generated on net</w:t>
            </w:r>
            <w:r>
              <w:t xml:space="preserve"> </w:t>
            </w:r>
            <w:r>
              <w:t>worth of an insurer. It’s a measure of overall return on the equity deployed in the business.</w:t>
            </w:r>
          </w:p>
        </w:tc>
      </w:tr>
    </w:tbl>
    <w:p w14:paraId="42DB940B" w14:textId="005B241C" w:rsidR="00522E4D" w:rsidRDefault="00522E4D" w:rsidP="006A3AF7">
      <w:pPr>
        <w:pStyle w:val="ListParagraph"/>
        <w:ind w:left="1440"/>
        <w:rPr>
          <w:rFonts w:ascii="Arial" w:hAnsi="Arial" w:cs="Arial"/>
          <w:color w:val="505050"/>
          <w:sz w:val="24"/>
          <w:szCs w:val="24"/>
        </w:rPr>
      </w:pPr>
    </w:p>
    <w:p w14:paraId="4384F1C8" w14:textId="336BD939" w:rsidR="00D14818" w:rsidRDefault="00D14818" w:rsidP="00D14818">
      <w:pPr>
        <w:pStyle w:val="ListParagraph"/>
        <w:numPr>
          <w:ilvl w:val="0"/>
          <w:numId w:val="1"/>
        </w:numPr>
        <w:rPr>
          <w:rFonts w:ascii="Arial" w:hAnsi="Arial" w:cs="Arial"/>
          <w:color w:val="505050"/>
          <w:sz w:val="24"/>
          <w:szCs w:val="24"/>
        </w:rPr>
      </w:pPr>
      <w:r>
        <w:rPr>
          <w:rFonts w:ascii="Arial" w:hAnsi="Arial" w:cs="Arial"/>
          <w:color w:val="505050"/>
          <w:sz w:val="24"/>
          <w:szCs w:val="24"/>
        </w:rPr>
        <w:t>The history of general insurance in India:</w:t>
      </w:r>
    </w:p>
    <w:p w14:paraId="1967F32A" w14:textId="4C860E02" w:rsidR="00507640" w:rsidRPr="00507640" w:rsidRDefault="00507640" w:rsidP="00507640">
      <w:pPr>
        <w:pStyle w:val="NormalWeb"/>
        <w:numPr>
          <w:ilvl w:val="0"/>
          <w:numId w:val="9"/>
        </w:numPr>
        <w:shd w:val="clear" w:color="auto" w:fill="FFFFFF"/>
        <w:spacing w:before="0" w:beforeAutospacing="0" w:after="150" w:afterAutospacing="0"/>
        <w:rPr>
          <w:rFonts w:ascii="Arial" w:hAnsi="Arial" w:cs="Arial"/>
          <w:color w:val="616161"/>
        </w:rPr>
      </w:pPr>
      <w:r>
        <w:rPr>
          <w:rFonts w:ascii="Arial" w:hAnsi="Arial" w:cs="Arial"/>
          <w:color w:val="616161"/>
        </w:rPr>
        <w:t>I</w:t>
      </w:r>
      <w:r w:rsidRPr="00507640">
        <w:rPr>
          <w:rFonts w:ascii="Arial" w:hAnsi="Arial" w:cs="Arial"/>
          <w:color w:val="616161"/>
        </w:rPr>
        <w:t>n India the first insurance policy was issued in the year 1870 by 'The European &amp; The Albert'. It was during this same year that the first Insurance company 'Bombay Mutual Assurance Society Ltd.' was formed.</w:t>
      </w:r>
    </w:p>
    <w:p w14:paraId="2E0D6AD4" w14:textId="77777777" w:rsidR="00507640" w:rsidRDefault="00507640" w:rsidP="00507640">
      <w:pPr>
        <w:pStyle w:val="NormalWeb"/>
        <w:numPr>
          <w:ilvl w:val="0"/>
          <w:numId w:val="9"/>
        </w:numPr>
        <w:shd w:val="clear" w:color="auto" w:fill="FFFFFF"/>
        <w:spacing w:before="0" w:beforeAutospacing="0" w:after="0" w:afterAutospacing="0"/>
        <w:rPr>
          <w:rFonts w:ascii="Arial" w:hAnsi="Arial" w:cs="Arial"/>
          <w:color w:val="616161"/>
        </w:rPr>
      </w:pPr>
      <w:r w:rsidRPr="00507640">
        <w:rPr>
          <w:rFonts w:ascii="Arial" w:hAnsi="Arial" w:cs="Arial"/>
          <w:color w:val="616161"/>
        </w:rPr>
        <w:lastRenderedPageBreak/>
        <w:t>The history of General Insurance can be dated back to the 17th Century; during the Industrial Revolution. General Insurance in India came as a British Occupation. So, Triton Insurance Company Ltd., in the year 1850 in Calcutta came to the introduced by the British. In the year 1907, Indian Mercantile Insurance Ltd, was the first company to manage all classes of general insurance business.</w:t>
      </w:r>
    </w:p>
    <w:p w14:paraId="53FAE053" w14:textId="77777777" w:rsidR="0021341B" w:rsidRDefault="00507640" w:rsidP="00507640">
      <w:pPr>
        <w:pStyle w:val="NormalWeb"/>
        <w:numPr>
          <w:ilvl w:val="0"/>
          <w:numId w:val="9"/>
        </w:numPr>
        <w:shd w:val="clear" w:color="auto" w:fill="FFFFFF"/>
        <w:spacing w:before="0" w:beforeAutospacing="0" w:after="0" w:afterAutospacing="0"/>
        <w:rPr>
          <w:rFonts w:ascii="Arial" w:hAnsi="Arial" w:cs="Arial"/>
          <w:color w:val="616161"/>
        </w:rPr>
      </w:pPr>
      <w:r w:rsidRPr="00507640">
        <w:rPr>
          <w:rFonts w:ascii="Arial" w:hAnsi="Arial" w:cs="Arial"/>
          <w:color w:val="616161"/>
        </w:rPr>
        <w:t xml:space="preserve">Since, 1907, there has been no stopping for emergence of general insurance companies. So today, may it be securing home, car, </w:t>
      </w:r>
      <w:proofErr w:type="gramStart"/>
      <w:r w:rsidRPr="00507640">
        <w:rPr>
          <w:rFonts w:ascii="Arial" w:hAnsi="Arial" w:cs="Arial"/>
          <w:color w:val="616161"/>
        </w:rPr>
        <w:t>two wheeler</w:t>
      </w:r>
      <w:proofErr w:type="gramEnd"/>
      <w:r w:rsidRPr="00507640">
        <w:rPr>
          <w:rFonts w:ascii="Arial" w:hAnsi="Arial" w:cs="Arial"/>
          <w:color w:val="616161"/>
        </w:rPr>
        <w:t xml:space="preserve">, travel, health and more a company like ICICI Lombard General Insurance Company Ltd. is a single platform that can </w:t>
      </w:r>
      <w:proofErr w:type="spellStart"/>
      <w:r w:rsidRPr="00507640">
        <w:rPr>
          <w:rFonts w:ascii="Arial" w:hAnsi="Arial" w:cs="Arial"/>
          <w:color w:val="616161"/>
        </w:rPr>
        <w:t>fulfill</w:t>
      </w:r>
      <w:proofErr w:type="spellEnd"/>
      <w:r w:rsidRPr="00507640">
        <w:rPr>
          <w:rFonts w:ascii="Arial" w:hAnsi="Arial" w:cs="Arial"/>
          <w:color w:val="616161"/>
        </w:rPr>
        <w:t xml:space="preserve"> right from basic to other insurance needs of every individual.</w:t>
      </w:r>
    </w:p>
    <w:p w14:paraId="43E85DA3" w14:textId="23A19DE0" w:rsidR="00507640" w:rsidRDefault="00507640" w:rsidP="0021341B">
      <w:pPr>
        <w:pStyle w:val="NormalWeb"/>
        <w:numPr>
          <w:ilvl w:val="0"/>
          <w:numId w:val="1"/>
        </w:numPr>
        <w:shd w:val="clear" w:color="auto" w:fill="FFFFFF"/>
        <w:spacing w:before="0" w:beforeAutospacing="0" w:after="0" w:afterAutospacing="0"/>
        <w:rPr>
          <w:rFonts w:ascii="Arial" w:hAnsi="Arial" w:cs="Arial"/>
          <w:color w:val="616161"/>
        </w:rPr>
      </w:pPr>
    </w:p>
    <w:p w14:paraId="3B711378" w14:textId="7C04BE9A" w:rsidR="00507640" w:rsidRDefault="00507640" w:rsidP="00507640">
      <w:pPr>
        <w:pStyle w:val="NormalWeb"/>
        <w:shd w:val="clear" w:color="auto" w:fill="FFFFFF"/>
        <w:spacing w:before="0" w:beforeAutospacing="0" w:after="0" w:afterAutospacing="0"/>
        <w:ind w:left="1510"/>
        <w:rPr>
          <w:rFonts w:ascii="Arial" w:hAnsi="Arial" w:cs="Arial"/>
          <w:color w:val="616161"/>
        </w:rPr>
      </w:pPr>
    </w:p>
    <w:p w14:paraId="5D111C3F" w14:textId="280893F6" w:rsidR="00507640" w:rsidRPr="00507640" w:rsidRDefault="00B00388" w:rsidP="0021341B">
      <w:pPr>
        <w:pStyle w:val="NormalWeb"/>
        <w:shd w:val="clear" w:color="auto" w:fill="FFFFFF"/>
        <w:spacing w:before="0" w:beforeAutospacing="0" w:after="0" w:afterAutospacing="0"/>
        <w:ind w:left="720"/>
        <w:rPr>
          <w:rFonts w:ascii="Arial" w:hAnsi="Arial" w:cs="Arial"/>
          <w:color w:val="616161"/>
        </w:rPr>
      </w:pPr>
      <w:r>
        <w:rPr>
          <w:rFonts w:ascii="Arial" w:hAnsi="Arial" w:cs="Arial"/>
          <w:noProof/>
          <w:color w:val="616161"/>
        </w:rPr>
        <w:drawing>
          <wp:inline distT="0" distB="0" distL="0" distR="0" wp14:anchorId="6C210C4C" wp14:editId="051106EB">
            <wp:extent cx="4742180" cy="260900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855738" cy="2671480"/>
                    </a:xfrm>
                    <a:prstGeom prst="rect">
                      <a:avLst/>
                    </a:prstGeom>
                  </pic:spPr>
                </pic:pic>
              </a:graphicData>
            </a:graphic>
          </wp:inline>
        </w:drawing>
      </w:r>
    </w:p>
    <w:p w14:paraId="4B792671" w14:textId="6ACF8502" w:rsidR="00D14818" w:rsidRDefault="0021341B" w:rsidP="00D14818">
      <w:pPr>
        <w:pStyle w:val="ListParagraph"/>
        <w:rPr>
          <w:rFonts w:ascii="Arial" w:hAnsi="Arial" w:cs="Arial"/>
          <w:color w:val="505050"/>
          <w:sz w:val="24"/>
          <w:szCs w:val="24"/>
        </w:rPr>
      </w:pPr>
      <w:r>
        <w:rPr>
          <w:rFonts w:ascii="Arial" w:hAnsi="Arial" w:cs="Arial"/>
          <w:color w:val="505050"/>
          <w:sz w:val="24"/>
          <w:szCs w:val="24"/>
        </w:rPr>
        <w:t>The combined ratio is 218.9333</w:t>
      </w:r>
    </w:p>
    <w:p w14:paraId="1D64ABF0" w14:textId="2C53CC54" w:rsidR="00522E4D" w:rsidRPr="00522E4D" w:rsidRDefault="00522E4D" w:rsidP="00522E4D">
      <w:pPr>
        <w:rPr>
          <w:rFonts w:ascii="Arial" w:hAnsi="Arial" w:cs="Arial"/>
          <w:color w:val="505050"/>
          <w:sz w:val="24"/>
          <w:szCs w:val="24"/>
        </w:rPr>
      </w:pPr>
    </w:p>
    <w:p w14:paraId="066D2FBE" w14:textId="77777777" w:rsidR="0025091D" w:rsidRDefault="0025091D" w:rsidP="0025091D">
      <w:pPr>
        <w:jc w:val="center"/>
        <w:rPr>
          <w:sz w:val="28"/>
          <w:szCs w:val="28"/>
        </w:rPr>
      </w:pPr>
    </w:p>
    <w:p w14:paraId="0FC7EE5C" w14:textId="77777777" w:rsidR="0025091D" w:rsidRPr="0025091D" w:rsidRDefault="0025091D" w:rsidP="0025091D">
      <w:pPr>
        <w:jc w:val="center"/>
        <w:rPr>
          <w:sz w:val="28"/>
          <w:szCs w:val="28"/>
        </w:rPr>
      </w:pPr>
    </w:p>
    <w:p w14:paraId="096C4C7A" w14:textId="77777777" w:rsidR="0025091D" w:rsidRPr="0025091D" w:rsidRDefault="0025091D" w:rsidP="0025091D">
      <w:pPr>
        <w:jc w:val="center"/>
        <w:rPr>
          <w:sz w:val="40"/>
          <w:szCs w:val="40"/>
        </w:rPr>
      </w:pPr>
    </w:p>
    <w:sectPr w:rsidR="0025091D" w:rsidRPr="00250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07154"/>
    <w:multiLevelType w:val="hybridMultilevel"/>
    <w:tmpl w:val="F648C1FC"/>
    <w:lvl w:ilvl="0" w:tplc="40090001">
      <w:start w:val="1"/>
      <w:numFmt w:val="bullet"/>
      <w:lvlText w:val=""/>
      <w:lvlJc w:val="left"/>
      <w:pPr>
        <w:ind w:left="1570" w:hanging="360"/>
      </w:pPr>
      <w:rPr>
        <w:rFonts w:ascii="Symbol" w:hAnsi="Symbol" w:hint="default"/>
      </w:rPr>
    </w:lvl>
    <w:lvl w:ilvl="1" w:tplc="40090003" w:tentative="1">
      <w:start w:val="1"/>
      <w:numFmt w:val="bullet"/>
      <w:lvlText w:val="o"/>
      <w:lvlJc w:val="left"/>
      <w:pPr>
        <w:ind w:left="2290" w:hanging="360"/>
      </w:pPr>
      <w:rPr>
        <w:rFonts w:ascii="Courier New" w:hAnsi="Courier New" w:cs="Courier New" w:hint="default"/>
      </w:rPr>
    </w:lvl>
    <w:lvl w:ilvl="2" w:tplc="40090005" w:tentative="1">
      <w:start w:val="1"/>
      <w:numFmt w:val="bullet"/>
      <w:lvlText w:val=""/>
      <w:lvlJc w:val="left"/>
      <w:pPr>
        <w:ind w:left="3010" w:hanging="360"/>
      </w:pPr>
      <w:rPr>
        <w:rFonts w:ascii="Wingdings" w:hAnsi="Wingdings" w:hint="default"/>
      </w:rPr>
    </w:lvl>
    <w:lvl w:ilvl="3" w:tplc="40090001" w:tentative="1">
      <w:start w:val="1"/>
      <w:numFmt w:val="bullet"/>
      <w:lvlText w:val=""/>
      <w:lvlJc w:val="left"/>
      <w:pPr>
        <w:ind w:left="3730" w:hanging="360"/>
      </w:pPr>
      <w:rPr>
        <w:rFonts w:ascii="Symbol" w:hAnsi="Symbol" w:hint="default"/>
      </w:rPr>
    </w:lvl>
    <w:lvl w:ilvl="4" w:tplc="40090003" w:tentative="1">
      <w:start w:val="1"/>
      <w:numFmt w:val="bullet"/>
      <w:lvlText w:val="o"/>
      <w:lvlJc w:val="left"/>
      <w:pPr>
        <w:ind w:left="4450" w:hanging="360"/>
      </w:pPr>
      <w:rPr>
        <w:rFonts w:ascii="Courier New" w:hAnsi="Courier New" w:cs="Courier New" w:hint="default"/>
      </w:rPr>
    </w:lvl>
    <w:lvl w:ilvl="5" w:tplc="40090005" w:tentative="1">
      <w:start w:val="1"/>
      <w:numFmt w:val="bullet"/>
      <w:lvlText w:val=""/>
      <w:lvlJc w:val="left"/>
      <w:pPr>
        <w:ind w:left="5170" w:hanging="360"/>
      </w:pPr>
      <w:rPr>
        <w:rFonts w:ascii="Wingdings" w:hAnsi="Wingdings" w:hint="default"/>
      </w:rPr>
    </w:lvl>
    <w:lvl w:ilvl="6" w:tplc="40090001" w:tentative="1">
      <w:start w:val="1"/>
      <w:numFmt w:val="bullet"/>
      <w:lvlText w:val=""/>
      <w:lvlJc w:val="left"/>
      <w:pPr>
        <w:ind w:left="5890" w:hanging="360"/>
      </w:pPr>
      <w:rPr>
        <w:rFonts w:ascii="Symbol" w:hAnsi="Symbol" w:hint="default"/>
      </w:rPr>
    </w:lvl>
    <w:lvl w:ilvl="7" w:tplc="40090003" w:tentative="1">
      <w:start w:val="1"/>
      <w:numFmt w:val="bullet"/>
      <w:lvlText w:val="o"/>
      <w:lvlJc w:val="left"/>
      <w:pPr>
        <w:ind w:left="6610" w:hanging="360"/>
      </w:pPr>
      <w:rPr>
        <w:rFonts w:ascii="Courier New" w:hAnsi="Courier New" w:cs="Courier New" w:hint="default"/>
      </w:rPr>
    </w:lvl>
    <w:lvl w:ilvl="8" w:tplc="40090005" w:tentative="1">
      <w:start w:val="1"/>
      <w:numFmt w:val="bullet"/>
      <w:lvlText w:val=""/>
      <w:lvlJc w:val="left"/>
      <w:pPr>
        <w:ind w:left="7330" w:hanging="360"/>
      </w:pPr>
      <w:rPr>
        <w:rFonts w:ascii="Wingdings" w:hAnsi="Wingdings" w:hint="default"/>
      </w:rPr>
    </w:lvl>
  </w:abstractNum>
  <w:abstractNum w:abstractNumId="1" w15:restartNumberingAfterBreak="0">
    <w:nsid w:val="291F4C7B"/>
    <w:multiLevelType w:val="hybridMultilevel"/>
    <w:tmpl w:val="9A0407D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354552C8"/>
    <w:multiLevelType w:val="hybridMultilevel"/>
    <w:tmpl w:val="B4F8FB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A9205E"/>
    <w:multiLevelType w:val="hybridMultilevel"/>
    <w:tmpl w:val="211C9E66"/>
    <w:lvl w:ilvl="0" w:tplc="40090001">
      <w:start w:val="1"/>
      <w:numFmt w:val="bullet"/>
      <w:lvlText w:val=""/>
      <w:lvlJc w:val="left"/>
      <w:pPr>
        <w:ind w:left="1510" w:hanging="360"/>
      </w:pPr>
      <w:rPr>
        <w:rFonts w:ascii="Symbol" w:hAnsi="Symbol" w:hint="default"/>
      </w:rPr>
    </w:lvl>
    <w:lvl w:ilvl="1" w:tplc="40090003" w:tentative="1">
      <w:start w:val="1"/>
      <w:numFmt w:val="bullet"/>
      <w:lvlText w:val="o"/>
      <w:lvlJc w:val="left"/>
      <w:pPr>
        <w:ind w:left="2230" w:hanging="360"/>
      </w:pPr>
      <w:rPr>
        <w:rFonts w:ascii="Courier New" w:hAnsi="Courier New" w:cs="Courier New" w:hint="default"/>
      </w:rPr>
    </w:lvl>
    <w:lvl w:ilvl="2" w:tplc="40090005" w:tentative="1">
      <w:start w:val="1"/>
      <w:numFmt w:val="bullet"/>
      <w:lvlText w:val=""/>
      <w:lvlJc w:val="left"/>
      <w:pPr>
        <w:ind w:left="2950" w:hanging="360"/>
      </w:pPr>
      <w:rPr>
        <w:rFonts w:ascii="Wingdings" w:hAnsi="Wingdings" w:hint="default"/>
      </w:rPr>
    </w:lvl>
    <w:lvl w:ilvl="3" w:tplc="40090001" w:tentative="1">
      <w:start w:val="1"/>
      <w:numFmt w:val="bullet"/>
      <w:lvlText w:val=""/>
      <w:lvlJc w:val="left"/>
      <w:pPr>
        <w:ind w:left="3670" w:hanging="360"/>
      </w:pPr>
      <w:rPr>
        <w:rFonts w:ascii="Symbol" w:hAnsi="Symbol" w:hint="default"/>
      </w:rPr>
    </w:lvl>
    <w:lvl w:ilvl="4" w:tplc="40090003" w:tentative="1">
      <w:start w:val="1"/>
      <w:numFmt w:val="bullet"/>
      <w:lvlText w:val="o"/>
      <w:lvlJc w:val="left"/>
      <w:pPr>
        <w:ind w:left="4390" w:hanging="360"/>
      </w:pPr>
      <w:rPr>
        <w:rFonts w:ascii="Courier New" w:hAnsi="Courier New" w:cs="Courier New" w:hint="default"/>
      </w:rPr>
    </w:lvl>
    <w:lvl w:ilvl="5" w:tplc="40090005" w:tentative="1">
      <w:start w:val="1"/>
      <w:numFmt w:val="bullet"/>
      <w:lvlText w:val=""/>
      <w:lvlJc w:val="left"/>
      <w:pPr>
        <w:ind w:left="5110" w:hanging="360"/>
      </w:pPr>
      <w:rPr>
        <w:rFonts w:ascii="Wingdings" w:hAnsi="Wingdings" w:hint="default"/>
      </w:rPr>
    </w:lvl>
    <w:lvl w:ilvl="6" w:tplc="40090001" w:tentative="1">
      <w:start w:val="1"/>
      <w:numFmt w:val="bullet"/>
      <w:lvlText w:val=""/>
      <w:lvlJc w:val="left"/>
      <w:pPr>
        <w:ind w:left="5830" w:hanging="360"/>
      </w:pPr>
      <w:rPr>
        <w:rFonts w:ascii="Symbol" w:hAnsi="Symbol" w:hint="default"/>
      </w:rPr>
    </w:lvl>
    <w:lvl w:ilvl="7" w:tplc="40090003" w:tentative="1">
      <w:start w:val="1"/>
      <w:numFmt w:val="bullet"/>
      <w:lvlText w:val="o"/>
      <w:lvlJc w:val="left"/>
      <w:pPr>
        <w:ind w:left="6550" w:hanging="360"/>
      </w:pPr>
      <w:rPr>
        <w:rFonts w:ascii="Courier New" w:hAnsi="Courier New" w:cs="Courier New" w:hint="default"/>
      </w:rPr>
    </w:lvl>
    <w:lvl w:ilvl="8" w:tplc="40090005" w:tentative="1">
      <w:start w:val="1"/>
      <w:numFmt w:val="bullet"/>
      <w:lvlText w:val=""/>
      <w:lvlJc w:val="left"/>
      <w:pPr>
        <w:ind w:left="7270" w:hanging="360"/>
      </w:pPr>
      <w:rPr>
        <w:rFonts w:ascii="Wingdings" w:hAnsi="Wingdings" w:hint="default"/>
      </w:rPr>
    </w:lvl>
  </w:abstractNum>
  <w:abstractNum w:abstractNumId="4" w15:restartNumberingAfterBreak="0">
    <w:nsid w:val="4CEB0FB1"/>
    <w:multiLevelType w:val="hybridMultilevel"/>
    <w:tmpl w:val="46547F3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5E049F1"/>
    <w:multiLevelType w:val="hybridMultilevel"/>
    <w:tmpl w:val="E1F03B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3B4B84"/>
    <w:multiLevelType w:val="hybridMultilevel"/>
    <w:tmpl w:val="7CF8A9D8"/>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 w15:restartNumberingAfterBreak="0">
    <w:nsid w:val="62E5483F"/>
    <w:multiLevelType w:val="hybridMultilevel"/>
    <w:tmpl w:val="2E2EE7C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05A0E55"/>
    <w:multiLevelType w:val="hybridMultilevel"/>
    <w:tmpl w:val="153868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CA1DF2"/>
    <w:multiLevelType w:val="hybridMultilevel"/>
    <w:tmpl w:val="2AC04D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1"/>
  </w:num>
  <w:num w:numId="6">
    <w:abstractNumId w:val="0"/>
  </w:num>
  <w:num w:numId="7">
    <w:abstractNumId w:val="9"/>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1D"/>
    <w:rsid w:val="0006780A"/>
    <w:rsid w:val="001C1447"/>
    <w:rsid w:val="0021341B"/>
    <w:rsid w:val="0025091D"/>
    <w:rsid w:val="00507640"/>
    <w:rsid w:val="00510305"/>
    <w:rsid w:val="00522E4D"/>
    <w:rsid w:val="00651C3C"/>
    <w:rsid w:val="006A3AF7"/>
    <w:rsid w:val="00B00388"/>
    <w:rsid w:val="00D14818"/>
    <w:rsid w:val="00DB0A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BF61"/>
  <w15:chartTrackingRefBased/>
  <w15:docId w15:val="{C0F6D4C4-4A15-4E1A-BAEB-F8D2C059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1D"/>
    <w:pPr>
      <w:ind w:left="720"/>
      <w:contextualSpacing/>
    </w:pPr>
  </w:style>
  <w:style w:type="table" w:styleId="TableGrid">
    <w:name w:val="Table Grid"/>
    <w:basedOn w:val="TableNormal"/>
    <w:uiPriority w:val="39"/>
    <w:rsid w:val="006A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764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4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1</cp:revision>
  <dcterms:created xsi:type="dcterms:W3CDTF">2021-04-27T09:25:00Z</dcterms:created>
  <dcterms:modified xsi:type="dcterms:W3CDTF">2021-04-27T11:58:00Z</dcterms:modified>
</cp:coreProperties>
</file>