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7A443" w14:textId="1CED1AF1" w:rsidR="00790EB2" w:rsidRDefault="003D2172" w:rsidP="00CA5DA9">
      <w:pPr>
        <w:rPr>
          <w:rFonts w:ascii="Cambria Math" w:hAnsi="Cambria Math"/>
          <w:sz w:val="24"/>
          <w:szCs w:val="24"/>
        </w:rPr>
      </w:pPr>
      <w:r>
        <w:rPr>
          <w:rFonts w:ascii="Cambria Math" w:hAnsi="Cambria Math"/>
          <w:sz w:val="24"/>
          <w:szCs w:val="24"/>
        </w:rPr>
        <w:t>Introduction to Derivatives and Financial Markets</w:t>
      </w:r>
    </w:p>
    <w:p w14:paraId="4F2F43C6" w14:textId="73D2CA3C" w:rsidR="003D2172" w:rsidRDefault="003D2172" w:rsidP="00CA5DA9">
      <w:pPr>
        <w:rPr>
          <w:rFonts w:ascii="Cambria Math" w:hAnsi="Cambria Math"/>
          <w:sz w:val="24"/>
          <w:szCs w:val="24"/>
        </w:rPr>
      </w:pPr>
      <w:r>
        <w:rPr>
          <w:rFonts w:ascii="Cambria Math" w:hAnsi="Cambria Math"/>
          <w:sz w:val="24"/>
          <w:szCs w:val="24"/>
        </w:rPr>
        <w:t>Project</w:t>
      </w:r>
    </w:p>
    <w:p w14:paraId="78A56219" w14:textId="5BDFC7BD" w:rsidR="003D2172" w:rsidRDefault="003D2172" w:rsidP="00CA5DA9">
      <w:pPr>
        <w:rPr>
          <w:rFonts w:ascii="Cambria Math" w:hAnsi="Cambria Math"/>
          <w:sz w:val="24"/>
          <w:szCs w:val="24"/>
        </w:rPr>
      </w:pPr>
      <w:r>
        <w:rPr>
          <w:rFonts w:ascii="Cambria Math" w:hAnsi="Cambria Math"/>
          <w:sz w:val="24"/>
          <w:szCs w:val="24"/>
        </w:rPr>
        <w:t>Done by:</w:t>
      </w:r>
    </w:p>
    <w:p w14:paraId="32FE74F4" w14:textId="73D08C82" w:rsidR="003D2172" w:rsidRDefault="003D2172" w:rsidP="00CA5DA9">
      <w:pPr>
        <w:rPr>
          <w:rFonts w:ascii="Cambria Math" w:hAnsi="Cambria Math"/>
          <w:sz w:val="24"/>
          <w:szCs w:val="24"/>
        </w:rPr>
      </w:pPr>
      <w:r>
        <w:rPr>
          <w:rFonts w:ascii="Cambria Math" w:hAnsi="Cambria Math"/>
          <w:sz w:val="24"/>
          <w:szCs w:val="24"/>
        </w:rPr>
        <w:t>D Gunavanth Mahendra, Roll Number: 402</w:t>
      </w:r>
    </w:p>
    <w:p w14:paraId="22AB5363" w14:textId="6EDC2E5C" w:rsidR="003D2172" w:rsidRDefault="003D2172" w:rsidP="00CA5DA9">
      <w:pPr>
        <w:rPr>
          <w:rFonts w:ascii="Cambria Math" w:hAnsi="Cambria Math"/>
          <w:sz w:val="24"/>
          <w:szCs w:val="24"/>
        </w:rPr>
      </w:pPr>
      <w:r>
        <w:rPr>
          <w:rFonts w:ascii="Cambria Math" w:hAnsi="Cambria Math"/>
          <w:sz w:val="24"/>
          <w:szCs w:val="24"/>
        </w:rPr>
        <w:t xml:space="preserve">Rohil Goyal, Roll Number: </w:t>
      </w:r>
      <w:r w:rsidR="00AA14EA">
        <w:rPr>
          <w:rFonts w:ascii="Cambria Math" w:hAnsi="Cambria Math"/>
          <w:sz w:val="24"/>
          <w:szCs w:val="24"/>
        </w:rPr>
        <w:t>423</w:t>
      </w:r>
    </w:p>
    <w:p w14:paraId="0FEB6015" w14:textId="53D1C564" w:rsidR="004C4FBC" w:rsidRDefault="004C4FBC" w:rsidP="00CA5DA9">
      <w:pPr>
        <w:rPr>
          <w:rFonts w:ascii="Cambria Math" w:hAnsi="Cambria Math"/>
          <w:sz w:val="24"/>
          <w:szCs w:val="24"/>
        </w:rPr>
      </w:pPr>
    </w:p>
    <w:p w14:paraId="318E7D46" w14:textId="77777777" w:rsidR="004C4FBC" w:rsidRPr="00733947" w:rsidRDefault="004C4FBC" w:rsidP="00CA5DA9">
      <w:pPr>
        <w:rPr>
          <w:rFonts w:ascii="Cambria Math" w:hAnsi="Cambria Math"/>
          <w:sz w:val="24"/>
          <w:szCs w:val="24"/>
        </w:rPr>
      </w:pPr>
    </w:p>
    <w:p w14:paraId="37BCF43E" w14:textId="120BEEFE" w:rsidR="00C544A6" w:rsidRPr="004C4FBC" w:rsidRDefault="00C544A6" w:rsidP="00CA5DA9">
      <w:pPr>
        <w:rPr>
          <w:rFonts w:ascii="Cambria Math" w:hAnsi="Cambria Math"/>
          <w:sz w:val="24"/>
          <w:szCs w:val="24"/>
          <w:u w:val="single"/>
        </w:rPr>
      </w:pPr>
      <w:r w:rsidRPr="00DB0449">
        <w:rPr>
          <w:rFonts w:ascii="Cambria Math" w:hAnsi="Cambria Math"/>
          <w:b/>
          <w:bCs/>
          <w:sz w:val="24"/>
          <w:szCs w:val="24"/>
          <w:u w:val="single"/>
        </w:rPr>
        <w:t>Statement 1</w:t>
      </w:r>
      <w:r w:rsidRPr="00733947">
        <w:rPr>
          <w:rFonts w:ascii="Cambria Math" w:hAnsi="Cambria Math"/>
          <w:sz w:val="24"/>
          <w:szCs w:val="24"/>
        </w:rPr>
        <w:t>:</w:t>
      </w:r>
      <w:r w:rsidR="00733947">
        <w:rPr>
          <w:rFonts w:ascii="Cambria Math" w:hAnsi="Cambria Math"/>
          <w:sz w:val="24"/>
          <w:szCs w:val="24"/>
        </w:rPr>
        <w:t xml:space="preserve"> </w:t>
      </w:r>
      <w:r w:rsidR="00733947" w:rsidRPr="00733947">
        <w:rPr>
          <w:rFonts w:ascii="Cambria Math" w:hAnsi="Cambria Math"/>
          <w:sz w:val="24"/>
          <w:szCs w:val="24"/>
        </w:rPr>
        <w:t>Hedging using futures can potentially eliminate volatility for any movement in underlying</w:t>
      </w:r>
      <w:r w:rsidR="00733947">
        <w:rPr>
          <w:rFonts w:ascii="Cambria Math" w:hAnsi="Cambria Math"/>
          <w:sz w:val="24"/>
          <w:szCs w:val="24"/>
        </w:rPr>
        <w:t xml:space="preserve"> </w:t>
      </w:r>
      <w:r w:rsidR="00733947" w:rsidRPr="00733947">
        <w:rPr>
          <w:rFonts w:ascii="Cambria Math" w:hAnsi="Cambria Math"/>
          <w:sz w:val="24"/>
          <w:szCs w:val="24"/>
        </w:rPr>
        <w:t>hedged item</w:t>
      </w:r>
      <w:r w:rsidR="00733947">
        <w:rPr>
          <w:rFonts w:ascii="Cambria Math" w:hAnsi="Cambria Math"/>
          <w:sz w:val="24"/>
          <w:szCs w:val="24"/>
        </w:rPr>
        <w:t>.</w:t>
      </w:r>
    </w:p>
    <w:p w14:paraId="42BB8EB2" w14:textId="405F8D21" w:rsidR="00C544A6" w:rsidRPr="00733947" w:rsidRDefault="00C544A6" w:rsidP="00CA5DA9">
      <w:pPr>
        <w:rPr>
          <w:rFonts w:ascii="Cambria Math" w:hAnsi="Cambria Math"/>
          <w:sz w:val="24"/>
          <w:szCs w:val="24"/>
        </w:rPr>
      </w:pPr>
      <w:r w:rsidRPr="00733947">
        <w:rPr>
          <w:rFonts w:ascii="Cambria Math" w:hAnsi="Cambria Math"/>
          <w:sz w:val="24"/>
          <w:szCs w:val="24"/>
        </w:rPr>
        <w:t xml:space="preserve">Futures are standardised contracts that oblige the parties involved to transact in a </w:t>
      </w:r>
      <w:r w:rsidR="00AA14EA" w:rsidRPr="00733947">
        <w:rPr>
          <w:rFonts w:ascii="Cambria Math" w:hAnsi="Cambria Math"/>
          <w:sz w:val="24"/>
          <w:szCs w:val="24"/>
        </w:rPr>
        <w:t>particular underlying</w:t>
      </w:r>
      <w:r w:rsidRPr="00733947">
        <w:rPr>
          <w:rFonts w:ascii="Cambria Math" w:hAnsi="Cambria Math"/>
          <w:sz w:val="24"/>
          <w:szCs w:val="24"/>
        </w:rPr>
        <w:t xml:space="preserve"> asset, on a pre-determined date at a price that is fixed in advanced. The assets, the amount of asset to be traded, delivery time, delivery place and the price are all set out in the futures contract. </w:t>
      </w:r>
    </w:p>
    <w:p w14:paraId="13F831B8" w14:textId="32277419" w:rsidR="00C544A6" w:rsidRPr="00733947" w:rsidRDefault="00C544A6" w:rsidP="00CA5DA9">
      <w:pPr>
        <w:rPr>
          <w:rFonts w:ascii="Cambria Math" w:hAnsi="Cambria Math"/>
          <w:sz w:val="24"/>
          <w:szCs w:val="24"/>
        </w:rPr>
      </w:pPr>
      <w:r w:rsidRPr="00733947">
        <w:rPr>
          <w:rFonts w:ascii="Cambria Math" w:hAnsi="Cambria Math"/>
          <w:sz w:val="24"/>
          <w:szCs w:val="24"/>
        </w:rPr>
        <w:t xml:space="preserve">In essence, a futures contract locks in the price at which the asset will be traded and protects the counterparties in case of any price movements against them but at the same time does not allow them to benefit from favourable price movements. In case of a perfect hedge – wherein the futures contract is on the asset we want to trade on, expiry is exactly the date we are looking to sell/buy on and the amount matches the amount we want to sell; this statement would hold true, as it would not allow a hedger to be exposed to price movements, keeping the price of the asset fixed essentially eliminating any form of volatility that the hedger might have experienced had they not taken up this position. </w:t>
      </w:r>
    </w:p>
    <w:p w14:paraId="2E9DB9DA" w14:textId="0C2D89B3" w:rsidR="00C544A6" w:rsidRDefault="00C544A6" w:rsidP="00CA5DA9">
      <w:pPr>
        <w:rPr>
          <w:rFonts w:ascii="Cambria Math" w:hAnsi="Cambria Math"/>
          <w:sz w:val="24"/>
          <w:szCs w:val="24"/>
        </w:rPr>
      </w:pPr>
      <w:r w:rsidRPr="00733947">
        <w:rPr>
          <w:rFonts w:ascii="Cambria Math" w:hAnsi="Cambria Math"/>
          <w:sz w:val="24"/>
          <w:szCs w:val="24"/>
        </w:rPr>
        <w:t>This is rarely the case. Since futures are standardised contracts, the timings, asset, and quantities rarely match. It is a hedger’s dream to create a perfect hedge (</w:t>
      </w:r>
      <w:r w:rsidRPr="00CD12F6">
        <w:rPr>
          <w:rFonts w:ascii="Cambria Math" w:hAnsi="Cambria Math"/>
          <w:sz w:val="24"/>
          <w:szCs w:val="24"/>
        </w:rPr>
        <w:t xml:space="preserve">with </w:t>
      </w:r>
      <w:r w:rsidR="00CD12F6" w:rsidRPr="00CD12F6">
        <w:rPr>
          <w:rFonts w:ascii="Cambria Math" w:hAnsi="Cambria Math"/>
          <w:sz w:val="24"/>
          <w:szCs w:val="24"/>
        </w:rPr>
        <w:t xml:space="preserve">minimum variance </w:t>
      </w:r>
      <w:r w:rsidRPr="00CD12F6">
        <w:rPr>
          <w:rFonts w:ascii="Cambria Math" w:hAnsi="Cambria Math"/>
          <w:sz w:val="24"/>
          <w:szCs w:val="24"/>
        </w:rPr>
        <w:t>hedge ratio 1</w:t>
      </w:r>
      <w:r w:rsidRPr="00733947">
        <w:rPr>
          <w:rFonts w:ascii="Cambria Math" w:hAnsi="Cambria Math"/>
          <w:sz w:val="24"/>
          <w:szCs w:val="24"/>
        </w:rPr>
        <w:t xml:space="preserve">), however this has rarely ever happened. There is almost always a mismatch in any one of the factors that have been outlined above, in such cases a hedger would prefer to use </w:t>
      </w:r>
      <w:r w:rsidR="00733947" w:rsidRPr="00733947">
        <w:rPr>
          <w:rFonts w:ascii="Cambria Math" w:hAnsi="Cambria Math"/>
          <w:sz w:val="24"/>
          <w:szCs w:val="24"/>
        </w:rPr>
        <w:t>a contract that most closely matches their circumstance</w:t>
      </w:r>
      <w:r w:rsidR="00733947">
        <w:rPr>
          <w:rFonts w:ascii="Cambria Math" w:hAnsi="Cambria Math"/>
          <w:sz w:val="24"/>
          <w:szCs w:val="24"/>
        </w:rPr>
        <w:t xml:space="preserve"> in order to mitigate the volatility that they may face.</w:t>
      </w:r>
    </w:p>
    <w:p w14:paraId="4729E9D4" w14:textId="2DFC4EA5" w:rsidR="00733947" w:rsidRDefault="00733947" w:rsidP="00CA5DA9">
      <w:pPr>
        <w:rPr>
          <w:rFonts w:ascii="Cambria Math" w:hAnsi="Cambria Math"/>
          <w:sz w:val="24"/>
          <w:szCs w:val="24"/>
        </w:rPr>
      </w:pPr>
    </w:p>
    <w:p w14:paraId="5CE97535" w14:textId="41CE8727" w:rsidR="00733947" w:rsidRDefault="00733947" w:rsidP="00CA5DA9">
      <w:pPr>
        <w:rPr>
          <w:rFonts w:ascii="Cambria Math" w:hAnsi="Cambria Math"/>
          <w:sz w:val="24"/>
          <w:szCs w:val="24"/>
        </w:rPr>
      </w:pPr>
      <w:r>
        <w:rPr>
          <w:rFonts w:ascii="Cambria Math" w:hAnsi="Cambria Math"/>
          <w:sz w:val="24"/>
          <w:szCs w:val="24"/>
          <w:u w:val="single"/>
        </w:rPr>
        <w:t>Numerical Example</w:t>
      </w:r>
      <w:r>
        <w:rPr>
          <w:rFonts w:ascii="Cambria Math" w:hAnsi="Cambria Math"/>
          <w:sz w:val="24"/>
          <w:szCs w:val="24"/>
        </w:rPr>
        <w:t>:</w:t>
      </w:r>
    </w:p>
    <w:p w14:paraId="2B23B059" w14:textId="644D3457" w:rsidR="00733947" w:rsidRDefault="00733947" w:rsidP="00CA5DA9">
      <w:pPr>
        <w:rPr>
          <w:rFonts w:ascii="Cambria Math" w:hAnsi="Cambria Math"/>
          <w:sz w:val="24"/>
          <w:szCs w:val="24"/>
        </w:rPr>
      </w:pPr>
      <w:r>
        <w:rPr>
          <w:rFonts w:ascii="Cambria Math" w:hAnsi="Cambria Math"/>
          <w:sz w:val="24"/>
          <w:szCs w:val="24"/>
          <w:u w:val="single"/>
        </w:rPr>
        <w:t>Perfect Hedge</w:t>
      </w:r>
    </w:p>
    <w:p w14:paraId="2CEDA9CC" w14:textId="120A299A" w:rsidR="007F3860" w:rsidRPr="00CD12F6" w:rsidRDefault="00733947" w:rsidP="00CA5DA9">
      <w:pPr>
        <w:rPr>
          <w:rFonts w:ascii="Cambria Math" w:hAnsi="Cambria Math"/>
          <w:sz w:val="24"/>
          <w:szCs w:val="24"/>
        </w:rPr>
      </w:pPr>
      <w:r w:rsidRPr="00CD12F6">
        <w:rPr>
          <w:rFonts w:ascii="Cambria Math" w:hAnsi="Cambria Math"/>
          <w:sz w:val="24"/>
          <w:szCs w:val="24"/>
        </w:rPr>
        <w:t xml:space="preserve">Let us assume that a producer of dairy products anticipates that they will have a requirement of </w:t>
      </w:r>
      <w:r w:rsidR="007F3860" w:rsidRPr="00CD12F6">
        <w:rPr>
          <w:rFonts w:ascii="Cambria Math" w:hAnsi="Cambria Math"/>
          <w:sz w:val="24"/>
          <w:szCs w:val="24"/>
        </w:rPr>
        <w:t>4</w:t>
      </w:r>
      <w:r w:rsidR="00CD12F6" w:rsidRPr="00CD12F6">
        <w:rPr>
          <w:rFonts w:ascii="Cambria Math" w:hAnsi="Cambria Math"/>
          <w:sz w:val="24"/>
          <w:szCs w:val="24"/>
        </w:rPr>
        <w:t>4</w:t>
      </w:r>
      <w:r w:rsidRPr="00CD12F6">
        <w:rPr>
          <w:rFonts w:ascii="Cambria Math" w:hAnsi="Cambria Math"/>
          <w:sz w:val="24"/>
          <w:szCs w:val="24"/>
        </w:rPr>
        <w:t>,000 pounds of</w:t>
      </w:r>
      <w:r w:rsidR="007F3860" w:rsidRPr="00CD12F6">
        <w:rPr>
          <w:rFonts w:ascii="Cambria Math" w:hAnsi="Cambria Math"/>
          <w:sz w:val="24"/>
          <w:szCs w:val="24"/>
        </w:rPr>
        <w:t xml:space="preserve"> non-fat</w:t>
      </w:r>
      <w:r w:rsidRPr="00CD12F6">
        <w:rPr>
          <w:rFonts w:ascii="Cambria Math" w:hAnsi="Cambria Math"/>
          <w:sz w:val="24"/>
          <w:szCs w:val="24"/>
        </w:rPr>
        <w:t xml:space="preserve"> milk next month. They are afraid that there may be adverse price movements and decide to hedge their position. For this they can use the </w:t>
      </w:r>
      <w:r w:rsidR="007F3860" w:rsidRPr="00CD12F6">
        <w:rPr>
          <w:rFonts w:ascii="Cambria Math" w:hAnsi="Cambria Math"/>
          <w:sz w:val="24"/>
          <w:szCs w:val="24"/>
        </w:rPr>
        <w:t xml:space="preserve">NONFAT DRY MILK FUTURES that is listed on the CME to lock in the price at $145 / pound. </w:t>
      </w:r>
    </w:p>
    <w:p w14:paraId="2D11C6B7" w14:textId="6CC69B8D" w:rsidR="007F3860" w:rsidRPr="00CD12F6" w:rsidRDefault="007F3860" w:rsidP="00CA5DA9">
      <w:pPr>
        <w:rPr>
          <w:rFonts w:ascii="Cambria Math" w:hAnsi="Cambria Math"/>
          <w:sz w:val="24"/>
          <w:szCs w:val="24"/>
        </w:rPr>
      </w:pPr>
      <w:r w:rsidRPr="00CD12F6">
        <w:rPr>
          <w:rFonts w:ascii="Cambria Math" w:hAnsi="Cambria Math"/>
          <w:sz w:val="24"/>
          <w:szCs w:val="24"/>
          <w:u w:val="single"/>
        </w:rPr>
        <w:t>Case 1</w:t>
      </w:r>
      <w:r w:rsidRPr="00CD12F6">
        <w:rPr>
          <w:rFonts w:ascii="Cambria Math" w:hAnsi="Cambria Math"/>
          <w:sz w:val="24"/>
          <w:szCs w:val="24"/>
        </w:rPr>
        <w:t>: Price increases to $150.</w:t>
      </w:r>
    </w:p>
    <w:p w14:paraId="1A4A54B4" w14:textId="44F35FCD" w:rsidR="007F3860" w:rsidRPr="00CD12F6" w:rsidRDefault="007F3860" w:rsidP="00CA5DA9">
      <w:pPr>
        <w:rPr>
          <w:rFonts w:ascii="Cambria Math" w:hAnsi="Cambria Math"/>
          <w:sz w:val="24"/>
          <w:szCs w:val="24"/>
        </w:rPr>
      </w:pPr>
      <w:r w:rsidRPr="00CD12F6">
        <w:rPr>
          <w:rFonts w:ascii="Cambria Math" w:hAnsi="Cambria Math"/>
          <w:sz w:val="24"/>
          <w:szCs w:val="24"/>
        </w:rPr>
        <w:lastRenderedPageBreak/>
        <w:t>The dairy producer will receive:</w:t>
      </w:r>
    </w:p>
    <w:p w14:paraId="6A59D67A" w14:textId="611FBB02" w:rsidR="007F3860" w:rsidRPr="00CD12F6" w:rsidRDefault="007F3860" w:rsidP="00CA5DA9">
      <w:pPr>
        <w:rPr>
          <w:rFonts w:ascii="Cambria Math" w:eastAsiaTheme="minorEastAsia" w:hAnsi="Cambria Math"/>
          <w:sz w:val="24"/>
          <w:szCs w:val="24"/>
        </w:rPr>
      </w:pPr>
      <m:oMath>
        <m:r>
          <w:rPr>
            <w:rFonts w:ascii="Cambria Math" w:hAnsi="Cambria Math"/>
            <w:sz w:val="24"/>
            <w:szCs w:val="24"/>
          </w:rPr>
          <m:t>44,000 (</m:t>
        </m:r>
        <m:r>
          <w:rPr>
            <w:rFonts w:ascii="Cambria Math" w:eastAsiaTheme="minorEastAsia" w:hAnsi="Cambria Math"/>
            <w:sz w:val="24"/>
            <w:szCs w:val="24"/>
          </w:rPr>
          <m:t>150 - 145) = $220, 000</m:t>
        </m:r>
      </m:oMath>
      <w:r w:rsidRPr="00CD12F6">
        <w:rPr>
          <w:rFonts w:ascii="Cambria Math" w:eastAsiaTheme="minorEastAsia" w:hAnsi="Cambria Math"/>
          <w:sz w:val="24"/>
          <w:szCs w:val="24"/>
        </w:rPr>
        <w:t>, keeping the effective price at $145 / pound.</w:t>
      </w:r>
    </w:p>
    <w:p w14:paraId="195637E3" w14:textId="1BAAB21E" w:rsidR="007F3860" w:rsidRPr="00CD12F6" w:rsidRDefault="007F3860" w:rsidP="00CA5DA9">
      <w:pPr>
        <w:rPr>
          <w:rFonts w:ascii="Cambria Math" w:eastAsiaTheme="minorEastAsia" w:hAnsi="Cambria Math"/>
          <w:sz w:val="24"/>
          <w:szCs w:val="24"/>
        </w:rPr>
      </w:pPr>
    </w:p>
    <w:p w14:paraId="7E7FFAA4" w14:textId="7AE6C5E3" w:rsidR="007F3860" w:rsidRPr="00CD12F6" w:rsidRDefault="007F3860" w:rsidP="00CA5DA9">
      <w:pPr>
        <w:rPr>
          <w:rFonts w:ascii="Cambria Math" w:hAnsi="Cambria Math"/>
          <w:sz w:val="24"/>
          <w:szCs w:val="24"/>
        </w:rPr>
      </w:pPr>
      <w:r w:rsidRPr="00CD12F6">
        <w:rPr>
          <w:rFonts w:ascii="Cambria Math" w:hAnsi="Cambria Math"/>
          <w:sz w:val="24"/>
          <w:szCs w:val="24"/>
          <w:u w:val="single"/>
        </w:rPr>
        <w:t>Case 2</w:t>
      </w:r>
      <w:r w:rsidRPr="00CD12F6">
        <w:rPr>
          <w:rFonts w:ascii="Cambria Math" w:hAnsi="Cambria Math"/>
          <w:sz w:val="24"/>
          <w:szCs w:val="24"/>
        </w:rPr>
        <w:t>: Price decreases to $143</w:t>
      </w:r>
    </w:p>
    <w:p w14:paraId="43F9132B" w14:textId="00C77E8D" w:rsidR="007F3860" w:rsidRPr="00CD12F6" w:rsidRDefault="007F3860" w:rsidP="00CA5DA9">
      <w:pPr>
        <w:rPr>
          <w:rFonts w:ascii="Cambria Math" w:hAnsi="Cambria Math"/>
          <w:sz w:val="24"/>
          <w:szCs w:val="24"/>
        </w:rPr>
      </w:pPr>
      <w:r w:rsidRPr="00CD12F6">
        <w:rPr>
          <w:rFonts w:ascii="Cambria Math" w:hAnsi="Cambria Math"/>
          <w:sz w:val="24"/>
          <w:szCs w:val="24"/>
        </w:rPr>
        <w:t>The dairy producer will have to pay:</w:t>
      </w:r>
    </w:p>
    <w:p w14:paraId="45613C80" w14:textId="3CD829BE" w:rsidR="007F3860" w:rsidRDefault="007F3860" w:rsidP="00CA5DA9">
      <w:pPr>
        <w:rPr>
          <w:rFonts w:ascii="Cambria Math" w:eastAsiaTheme="minorEastAsia" w:hAnsi="Cambria Math"/>
          <w:sz w:val="24"/>
          <w:szCs w:val="24"/>
        </w:rPr>
      </w:pPr>
      <m:oMath>
        <m:r>
          <w:rPr>
            <w:rFonts w:ascii="Cambria Math" w:hAnsi="Cambria Math"/>
            <w:sz w:val="24"/>
            <w:szCs w:val="24"/>
          </w:rPr>
          <m:t>44,000 (</m:t>
        </m:r>
        <m:r>
          <w:rPr>
            <w:rFonts w:ascii="Cambria Math" w:eastAsiaTheme="minorEastAsia" w:hAnsi="Cambria Math"/>
            <w:sz w:val="24"/>
            <w:szCs w:val="24"/>
          </w:rPr>
          <m:t>143 - 145) = -$88,000</m:t>
        </m:r>
      </m:oMath>
      <w:r w:rsidRPr="00CD12F6">
        <w:rPr>
          <w:rFonts w:ascii="Cambria Math" w:eastAsiaTheme="minorEastAsia" w:hAnsi="Cambria Math"/>
          <w:sz w:val="24"/>
          <w:szCs w:val="24"/>
        </w:rPr>
        <w:t>, keeping the effective price at $145 / pound.</w:t>
      </w:r>
    </w:p>
    <w:p w14:paraId="4BC62A87" w14:textId="77777777" w:rsidR="00CA5DA9" w:rsidRDefault="00CA5DA9" w:rsidP="00CA5DA9">
      <w:pPr>
        <w:rPr>
          <w:rFonts w:ascii="Cambria Math" w:eastAsiaTheme="minorEastAsia" w:hAnsi="Cambria Math"/>
          <w:sz w:val="24"/>
          <w:szCs w:val="24"/>
        </w:rPr>
      </w:pPr>
    </w:p>
    <w:tbl>
      <w:tblPr>
        <w:tblStyle w:val="TableGrid"/>
        <w:tblW w:w="0" w:type="auto"/>
        <w:tblLook w:val="04A0" w:firstRow="1" w:lastRow="0" w:firstColumn="1" w:lastColumn="0" w:noHBand="0" w:noVBand="1"/>
      </w:tblPr>
      <w:tblGrid>
        <w:gridCol w:w="960"/>
        <w:gridCol w:w="1900"/>
        <w:gridCol w:w="2380"/>
      </w:tblGrid>
      <w:tr w:rsidR="00CA5DA9" w:rsidRPr="00CA5DA9" w14:paraId="32290DA5" w14:textId="77777777" w:rsidTr="00CA5DA9">
        <w:trPr>
          <w:trHeight w:val="290"/>
        </w:trPr>
        <w:tc>
          <w:tcPr>
            <w:tcW w:w="960" w:type="dxa"/>
            <w:noWrap/>
            <w:hideMark/>
          </w:tcPr>
          <w:p w14:paraId="76D3194C"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Milk price</w:t>
            </w:r>
          </w:p>
        </w:tc>
        <w:tc>
          <w:tcPr>
            <w:tcW w:w="1900" w:type="dxa"/>
            <w:noWrap/>
            <w:hideMark/>
          </w:tcPr>
          <w:p w14:paraId="1B7E6748"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Payoff from futures</w:t>
            </w:r>
          </w:p>
        </w:tc>
        <w:tc>
          <w:tcPr>
            <w:tcW w:w="2380" w:type="dxa"/>
            <w:noWrap/>
            <w:hideMark/>
          </w:tcPr>
          <w:p w14:paraId="5B4CF392" w14:textId="4500DAF6" w:rsidR="00CA5DA9" w:rsidRPr="00CA5DA9" w:rsidRDefault="00CA5DA9" w:rsidP="00CA5DA9">
            <w:pPr>
              <w:rPr>
                <w:rFonts w:ascii="Cambria Math" w:eastAsiaTheme="minorEastAsia" w:hAnsi="Cambria Math"/>
                <w:sz w:val="24"/>
                <w:szCs w:val="24"/>
              </w:rPr>
            </w:pPr>
            <w:r>
              <w:rPr>
                <w:rFonts w:ascii="Cambria Math" w:eastAsiaTheme="minorEastAsia" w:hAnsi="Cambria Math"/>
                <w:sz w:val="24"/>
                <w:szCs w:val="24"/>
              </w:rPr>
              <w:t xml:space="preserve">Effective </w:t>
            </w:r>
            <w:r w:rsidRPr="00CA5DA9">
              <w:rPr>
                <w:rFonts w:ascii="Cambria Math" w:eastAsiaTheme="minorEastAsia" w:hAnsi="Cambria Math"/>
                <w:sz w:val="24"/>
                <w:szCs w:val="24"/>
              </w:rPr>
              <w:t>Selling price</w:t>
            </w:r>
          </w:p>
        </w:tc>
      </w:tr>
      <w:tr w:rsidR="00CA5DA9" w:rsidRPr="00CA5DA9" w14:paraId="68DA3323" w14:textId="77777777" w:rsidTr="00CA5DA9">
        <w:trPr>
          <w:trHeight w:val="290"/>
        </w:trPr>
        <w:tc>
          <w:tcPr>
            <w:tcW w:w="960" w:type="dxa"/>
            <w:noWrap/>
            <w:hideMark/>
          </w:tcPr>
          <w:p w14:paraId="6BFD321B"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130</w:t>
            </w:r>
          </w:p>
        </w:tc>
        <w:tc>
          <w:tcPr>
            <w:tcW w:w="1900" w:type="dxa"/>
            <w:noWrap/>
            <w:hideMark/>
          </w:tcPr>
          <w:p w14:paraId="6B78145E"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15</w:t>
            </w:r>
          </w:p>
        </w:tc>
        <w:tc>
          <w:tcPr>
            <w:tcW w:w="2380" w:type="dxa"/>
            <w:noWrap/>
            <w:hideMark/>
          </w:tcPr>
          <w:p w14:paraId="78B23CFA"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145</w:t>
            </w:r>
          </w:p>
        </w:tc>
      </w:tr>
      <w:tr w:rsidR="00CA5DA9" w:rsidRPr="00CA5DA9" w14:paraId="05566693" w14:textId="77777777" w:rsidTr="00CA5DA9">
        <w:trPr>
          <w:trHeight w:val="290"/>
        </w:trPr>
        <w:tc>
          <w:tcPr>
            <w:tcW w:w="960" w:type="dxa"/>
            <w:noWrap/>
            <w:hideMark/>
          </w:tcPr>
          <w:p w14:paraId="15E8AA59"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135</w:t>
            </w:r>
          </w:p>
        </w:tc>
        <w:tc>
          <w:tcPr>
            <w:tcW w:w="1900" w:type="dxa"/>
            <w:noWrap/>
            <w:hideMark/>
          </w:tcPr>
          <w:p w14:paraId="19DBC9A3"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10</w:t>
            </w:r>
          </w:p>
        </w:tc>
        <w:tc>
          <w:tcPr>
            <w:tcW w:w="2380" w:type="dxa"/>
            <w:noWrap/>
            <w:hideMark/>
          </w:tcPr>
          <w:p w14:paraId="1FD339A0"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145</w:t>
            </w:r>
          </w:p>
        </w:tc>
      </w:tr>
      <w:tr w:rsidR="00CA5DA9" w:rsidRPr="00CA5DA9" w14:paraId="2D135AFC" w14:textId="77777777" w:rsidTr="00CA5DA9">
        <w:trPr>
          <w:trHeight w:val="290"/>
        </w:trPr>
        <w:tc>
          <w:tcPr>
            <w:tcW w:w="960" w:type="dxa"/>
            <w:noWrap/>
            <w:hideMark/>
          </w:tcPr>
          <w:p w14:paraId="5EA9D8C3"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140</w:t>
            </w:r>
          </w:p>
        </w:tc>
        <w:tc>
          <w:tcPr>
            <w:tcW w:w="1900" w:type="dxa"/>
            <w:noWrap/>
            <w:hideMark/>
          </w:tcPr>
          <w:p w14:paraId="34ED95FE"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5</w:t>
            </w:r>
          </w:p>
        </w:tc>
        <w:tc>
          <w:tcPr>
            <w:tcW w:w="2380" w:type="dxa"/>
            <w:noWrap/>
            <w:hideMark/>
          </w:tcPr>
          <w:p w14:paraId="19A0135B"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145</w:t>
            </w:r>
          </w:p>
        </w:tc>
      </w:tr>
      <w:tr w:rsidR="00CA5DA9" w:rsidRPr="00CA5DA9" w14:paraId="25564A90" w14:textId="77777777" w:rsidTr="00CA5DA9">
        <w:trPr>
          <w:trHeight w:val="290"/>
        </w:trPr>
        <w:tc>
          <w:tcPr>
            <w:tcW w:w="960" w:type="dxa"/>
            <w:noWrap/>
            <w:hideMark/>
          </w:tcPr>
          <w:p w14:paraId="5A962F9D"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145</w:t>
            </w:r>
          </w:p>
        </w:tc>
        <w:tc>
          <w:tcPr>
            <w:tcW w:w="1900" w:type="dxa"/>
            <w:noWrap/>
            <w:hideMark/>
          </w:tcPr>
          <w:p w14:paraId="4EAD9178"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0</w:t>
            </w:r>
          </w:p>
        </w:tc>
        <w:tc>
          <w:tcPr>
            <w:tcW w:w="2380" w:type="dxa"/>
            <w:noWrap/>
            <w:hideMark/>
          </w:tcPr>
          <w:p w14:paraId="73B296F6"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145</w:t>
            </w:r>
          </w:p>
        </w:tc>
      </w:tr>
      <w:tr w:rsidR="00CA5DA9" w:rsidRPr="00CA5DA9" w14:paraId="655395DF" w14:textId="77777777" w:rsidTr="00CA5DA9">
        <w:trPr>
          <w:trHeight w:val="290"/>
        </w:trPr>
        <w:tc>
          <w:tcPr>
            <w:tcW w:w="960" w:type="dxa"/>
            <w:noWrap/>
            <w:hideMark/>
          </w:tcPr>
          <w:p w14:paraId="7A773F11"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150</w:t>
            </w:r>
          </w:p>
        </w:tc>
        <w:tc>
          <w:tcPr>
            <w:tcW w:w="1900" w:type="dxa"/>
            <w:noWrap/>
            <w:hideMark/>
          </w:tcPr>
          <w:p w14:paraId="4BBB5753"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-5</w:t>
            </w:r>
          </w:p>
        </w:tc>
        <w:tc>
          <w:tcPr>
            <w:tcW w:w="2380" w:type="dxa"/>
            <w:noWrap/>
            <w:hideMark/>
          </w:tcPr>
          <w:p w14:paraId="6D11F792"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145</w:t>
            </w:r>
          </w:p>
        </w:tc>
      </w:tr>
      <w:tr w:rsidR="00CA5DA9" w:rsidRPr="00CA5DA9" w14:paraId="4764ED5B" w14:textId="77777777" w:rsidTr="00CA5DA9">
        <w:trPr>
          <w:trHeight w:val="290"/>
        </w:trPr>
        <w:tc>
          <w:tcPr>
            <w:tcW w:w="960" w:type="dxa"/>
            <w:noWrap/>
            <w:hideMark/>
          </w:tcPr>
          <w:p w14:paraId="52A97356"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155</w:t>
            </w:r>
          </w:p>
        </w:tc>
        <w:tc>
          <w:tcPr>
            <w:tcW w:w="1900" w:type="dxa"/>
            <w:noWrap/>
            <w:hideMark/>
          </w:tcPr>
          <w:p w14:paraId="49BA9697"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-10</w:t>
            </w:r>
          </w:p>
        </w:tc>
        <w:tc>
          <w:tcPr>
            <w:tcW w:w="2380" w:type="dxa"/>
            <w:noWrap/>
            <w:hideMark/>
          </w:tcPr>
          <w:p w14:paraId="162FEB5C"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145</w:t>
            </w:r>
          </w:p>
        </w:tc>
      </w:tr>
      <w:tr w:rsidR="00CA5DA9" w:rsidRPr="00CA5DA9" w14:paraId="06496473" w14:textId="77777777" w:rsidTr="00CA5DA9">
        <w:trPr>
          <w:trHeight w:val="290"/>
        </w:trPr>
        <w:tc>
          <w:tcPr>
            <w:tcW w:w="960" w:type="dxa"/>
            <w:noWrap/>
            <w:hideMark/>
          </w:tcPr>
          <w:p w14:paraId="05F29A19"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160</w:t>
            </w:r>
          </w:p>
        </w:tc>
        <w:tc>
          <w:tcPr>
            <w:tcW w:w="1900" w:type="dxa"/>
            <w:noWrap/>
            <w:hideMark/>
          </w:tcPr>
          <w:p w14:paraId="470E62FC"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-15</w:t>
            </w:r>
          </w:p>
        </w:tc>
        <w:tc>
          <w:tcPr>
            <w:tcW w:w="2380" w:type="dxa"/>
            <w:noWrap/>
            <w:hideMark/>
          </w:tcPr>
          <w:p w14:paraId="0DF83657"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145</w:t>
            </w:r>
          </w:p>
        </w:tc>
      </w:tr>
    </w:tbl>
    <w:p w14:paraId="1149B40F" w14:textId="538D62B0" w:rsidR="007F3860" w:rsidRDefault="007F3860" w:rsidP="00CA5DA9">
      <w:pPr>
        <w:rPr>
          <w:rFonts w:ascii="Cambria Math" w:eastAsiaTheme="minorEastAsia" w:hAnsi="Cambria Math"/>
          <w:sz w:val="24"/>
          <w:szCs w:val="24"/>
        </w:rPr>
      </w:pPr>
    </w:p>
    <w:p w14:paraId="720FDF76" w14:textId="52C7131C" w:rsidR="007F3860" w:rsidRDefault="007F3860" w:rsidP="00CA5DA9">
      <w:pPr>
        <w:rPr>
          <w:rFonts w:ascii="Cambria Math" w:hAnsi="Cambria Math"/>
          <w:sz w:val="24"/>
          <w:szCs w:val="24"/>
        </w:rPr>
      </w:pPr>
      <w:r>
        <w:rPr>
          <w:rFonts w:ascii="Cambria Math" w:eastAsiaTheme="minorEastAsia" w:hAnsi="Cambria Math"/>
          <w:sz w:val="24"/>
          <w:szCs w:val="24"/>
        </w:rPr>
        <w:t xml:space="preserve">Clearly in this case the producers cannot in anyway benefit or be worse off thus, mitigating any volatility present in the underlying price of </w:t>
      </w:r>
      <w:r>
        <w:rPr>
          <w:rFonts w:ascii="Cambria Math" w:hAnsi="Cambria Math"/>
          <w:sz w:val="24"/>
          <w:szCs w:val="24"/>
        </w:rPr>
        <w:t>non-fat milk.</w:t>
      </w:r>
    </w:p>
    <w:p w14:paraId="6F24498B" w14:textId="77777777" w:rsidR="00672A33" w:rsidRDefault="00672A33" w:rsidP="00CA5DA9">
      <w:pPr>
        <w:rPr>
          <w:rFonts w:ascii="Cambria Math" w:hAnsi="Cambria Math"/>
          <w:sz w:val="24"/>
          <w:szCs w:val="24"/>
        </w:rPr>
      </w:pPr>
    </w:p>
    <w:p w14:paraId="44075262" w14:textId="77777777" w:rsidR="004C4FBC" w:rsidRDefault="004C4FBC" w:rsidP="00CA5DA9">
      <w:pPr>
        <w:rPr>
          <w:rFonts w:ascii="Cambria Math" w:hAnsi="Cambria Math"/>
          <w:b/>
          <w:bCs/>
          <w:sz w:val="24"/>
          <w:szCs w:val="24"/>
          <w:u w:val="single"/>
        </w:rPr>
      </w:pPr>
    </w:p>
    <w:p w14:paraId="075103A9" w14:textId="77777777" w:rsidR="004C4FBC" w:rsidRDefault="004C4FBC" w:rsidP="00CA5DA9">
      <w:pPr>
        <w:rPr>
          <w:rFonts w:ascii="Cambria Math" w:hAnsi="Cambria Math"/>
          <w:b/>
          <w:bCs/>
          <w:sz w:val="24"/>
          <w:szCs w:val="24"/>
          <w:u w:val="single"/>
        </w:rPr>
      </w:pPr>
    </w:p>
    <w:p w14:paraId="68CE7902" w14:textId="77777777" w:rsidR="004C4FBC" w:rsidRDefault="004C4FBC" w:rsidP="00CA5DA9">
      <w:pPr>
        <w:rPr>
          <w:rFonts w:ascii="Cambria Math" w:hAnsi="Cambria Math"/>
          <w:b/>
          <w:bCs/>
          <w:sz w:val="24"/>
          <w:szCs w:val="24"/>
          <w:u w:val="single"/>
        </w:rPr>
      </w:pPr>
    </w:p>
    <w:p w14:paraId="65A5BCD3" w14:textId="77777777" w:rsidR="004C4FBC" w:rsidRDefault="004C4FBC" w:rsidP="00CA5DA9">
      <w:pPr>
        <w:rPr>
          <w:rFonts w:ascii="Cambria Math" w:hAnsi="Cambria Math"/>
          <w:b/>
          <w:bCs/>
          <w:sz w:val="24"/>
          <w:szCs w:val="24"/>
          <w:u w:val="single"/>
        </w:rPr>
      </w:pPr>
    </w:p>
    <w:p w14:paraId="06ACFD4A" w14:textId="77777777" w:rsidR="004C4FBC" w:rsidRDefault="004C4FBC" w:rsidP="00CA5DA9">
      <w:pPr>
        <w:rPr>
          <w:rFonts w:ascii="Cambria Math" w:hAnsi="Cambria Math"/>
          <w:b/>
          <w:bCs/>
          <w:sz w:val="24"/>
          <w:szCs w:val="24"/>
          <w:u w:val="single"/>
        </w:rPr>
      </w:pPr>
    </w:p>
    <w:p w14:paraId="3228A42A" w14:textId="77777777" w:rsidR="004C4FBC" w:rsidRDefault="004C4FBC" w:rsidP="00CA5DA9">
      <w:pPr>
        <w:rPr>
          <w:rFonts w:ascii="Cambria Math" w:hAnsi="Cambria Math"/>
          <w:b/>
          <w:bCs/>
          <w:sz w:val="24"/>
          <w:szCs w:val="24"/>
          <w:u w:val="single"/>
        </w:rPr>
      </w:pPr>
    </w:p>
    <w:p w14:paraId="05D09928" w14:textId="77777777" w:rsidR="004C4FBC" w:rsidRDefault="004C4FBC" w:rsidP="00CA5DA9">
      <w:pPr>
        <w:rPr>
          <w:rFonts w:ascii="Cambria Math" w:hAnsi="Cambria Math"/>
          <w:b/>
          <w:bCs/>
          <w:sz w:val="24"/>
          <w:szCs w:val="24"/>
          <w:u w:val="single"/>
        </w:rPr>
      </w:pPr>
    </w:p>
    <w:p w14:paraId="709662AC" w14:textId="77777777" w:rsidR="004C4FBC" w:rsidRDefault="004C4FBC" w:rsidP="00CA5DA9">
      <w:pPr>
        <w:rPr>
          <w:rFonts w:ascii="Cambria Math" w:hAnsi="Cambria Math"/>
          <w:b/>
          <w:bCs/>
          <w:sz w:val="24"/>
          <w:szCs w:val="24"/>
          <w:u w:val="single"/>
        </w:rPr>
      </w:pPr>
    </w:p>
    <w:p w14:paraId="409E7942" w14:textId="77777777" w:rsidR="004C4FBC" w:rsidRDefault="004C4FBC" w:rsidP="00CA5DA9">
      <w:pPr>
        <w:rPr>
          <w:rFonts w:ascii="Cambria Math" w:hAnsi="Cambria Math"/>
          <w:b/>
          <w:bCs/>
          <w:sz w:val="24"/>
          <w:szCs w:val="24"/>
          <w:u w:val="single"/>
        </w:rPr>
      </w:pPr>
    </w:p>
    <w:p w14:paraId="557B2AE1" w14:textId="77777777" w:rsidR="004C4FBC" w:rsidRDefault="004C4FBC" w:rsidP="00CA5DA9">
      <w:pPr>
        <w:rPr>
          <w:rFonts w:ascii="Cambria Math" w:hAnsi="Cambria Math"/>
          <w:b/>
          <w:bCs/>
          <w:sz w:val="24"/>
          <w:szCs w:val="24"/>
          <w:u w:val="single"/>
        </w:rPr>
      </w:pPr>
    </w:p>
    <w:p w14:paraId="4A7F95F1" w14:textId="77777777" w:rsidR="004C4FBC" w:rsidRDefault="004C4FBC" w:rsidP="00CA5DA9">
      <w:pPr>
        <w:rPr>
          <w:rFonts w:ascii="Cambria Math" w:hAnsi="Cambria Math"/>
          <w:b/>
          <w:bCs/>
          <w:sz w:val="24"/>
          <w:szCs w:val="24"/>
          <w:u w:val="single"/>
        </w:rPr>
      </w:pPr>
    </w:p>
    <w:p w14:paraId="190D5967" w14:textId="77777777" w:rsidR="004C4FBC" w:rsidRDefault="004C4FBC" w:rsidP="00CA5DA9">
      <w:pPr>
        <w:rPr>
          <w:rFonts w:ascii="Cambria Math" w:hAnsi="Cambria Math"/>
          <w:b/>
          <w:bCs/>
          <w:sz w:val="24"/>
          <w:szCs w:val="24"/>
          <w:u w:val="single"/>
        </w:rPr>
      </w:pPr>
    </w:p>
    <w:p w14:paraId="0F38D724" w14:textId="77777777" w:rsidR="004C4FBC" w:rsidRDefault="004C4FBC" w:rsidP="00CA5DA9">
      <w:pPr>
        <w:rPr>
          <w:rFonts w:ascii="Cambria Math" w:hAnsi="Cambria Math"/>
          <w:b/>
          <w:bCs/>
          <w:sz w:val="24"/>
          <w:szCs w:val="24"/>
          <w:u w:val="single"/>
        </w:rPr>
      </w:pPr>
    </w:p>
    <w:p w14:paraId="75F0C59D" w14:textId="77777777" w:rsidR="004C4FBC" w:rsidRDefault="004C4FBC" w:rsidP="00CA5DA9">
      <w:pPr>
        <w:rPr>
          <w:rFonts w:ascii="Cambria Math" w:hAnsi="Cambria Math"/>
          <w:b/>
          <w:bCs/>
          <w:sz w:val="24"/>
          <w:szCs w:val="24"/>
          <w:u w:val="single"/>
        </w:rPr>
      </w:pPr>
    </w:p>
    <w:p w14:paraId="00DDD190" w14:textId="12A242FE" w:rsidR="00733947" w:rsidRDefault="004C6F0A" w:rsidP="00CA5DA9">
      <w:pPr>
        <w:rPr>
          <w:rFonts w:ascii="Cambria Math" w:hAnsi="Cambria Math"/>
          <w:sz w:val="24"/>
          <w:szCs w:val="24"/>
        </w:rPr>
      </w:pPr>
      <w:r w:rsidRPr="00DB0449">
        <w:rPr>
          <w:rFonts w:ascii="Cambria Math" w:hAnsi="Cambria Math"/>
          <w:b/>
          <w:bCs/>
          <w:sz w:val="24"/>
          <w:szCs w:val="24"/>
          <w:u w:val="single"/>
        </w:rPr>
        <w:lastRenderedPageBreak/>
        <w:t xml:space="preserve">Statement </w:t>
      </w:r>
      <w:r w:rsidR="00DB0449" w:rsidRPr="00DB0449">
        <w:rPr>
          <w:rFonts w:ascii="Cambria Math" w:hAnsi="Cambria Math"/>
          <w:b/>
          <w:bCs/>
          <w:sz w:val="24"/>
          <w:szCs w:val="24"/>
          <w:u w:val="single"/>
        </w:rPr>
        <w:t>2</w:t>
      </w:r>
      <w:r w:rsidR="00DB0449">
        <w:rPr>
          <w:rFonts w:ascii="Cambria Math" w:hAnsi="Cambria Math"/>
          <w:sz w:val="24"/>
          <w:szCs w:val="24"/>
          <w:u w:val="single"/>
        </w:rPr>
        <w:t>:</w:t>
      </w:r>
      <w:r w:rsidRPr="00DB0449">
        <w:rPr>
          <w:rFonts w:ascii="Cambria Math" w:hAnsi="Cambria Math"/>
          <w:sz w:val="24"/>
          <w:szCs w:val="24"/>
          <w:u w:val="single"/>
        </w:rPr>
        <w:t xml:space="preserve"> </w:t>
      </w:r>
      <w:r w:rsidRPr="00DB0449">
        <w:rPr>
          <w:rFonts w:ascii="Cambria Math" w:hAnsi="Cambria Math"/>
          <w:sz w:val="24"/>
          <w:szCs w:val="24"/>
        </w:rPr>
        <w:t>Hedging using options can eliminate the downside volatility of the price movement in the underlying asset at an associated cost.</w:t>
      </w:r>
    </w:p>
    <w:p w14:paraId="2DEA9F54" w14:textId="3C9CC78B" w:rsidR="00DB0449" w:rsidRDefault="00C52F3B" w:rsidP="00CA5DA9">
      <w:pPr>
        <w:rPr>
          <w:rFonts w:ascii="Cambria Math" w:hAnsi="Cambria Math"/>
          <w:sz w:val="24"/>
          <w:szCs w:val="24"/>
        </w:rPr>
      </w:pPr>
      <w:r w:rsidRPr="00C52F3B">
        <w:rPr>
          <w:rFonts w:ascii="Cambria Math" w:hAnsi="Cambria Math"/>
          <w:b/>
          <w:bCs/>
          <w:sz w:val="24"/>
          <w:szCs w:val="24"/>
        </w:rPr>
        <w:t>I</w:t>
      </w:r>
      <w:r w:rsidR="00E11B8E" w:rsidRPr="00C52F3B">
        <w:rPr>
          <w:rFonts w:ascii="Cambria Math" w:hAnsi="Cambria Math"/>
          <w:b/>
          <w:bCs/>
          <w:sz w:val="24"/>
          <w:szCs w:val="24"/>
        </w:rPr>
        <w:t>ntroduction</w:t>
      </w:r>
      <w:r w:rsidR="00E11B8E">
        <w:rPr>
          <w:rFonts w:ascii="Cambria Math" w:hAnsi="Cambria Math"/>
          <w:sz w:val="24"/>
          <w:szCs w:val="24"/>
        </w:rPr>
        <w:br/>
      </w:r>
      <w:r w:rsidR="0014554F">
        <w:rPr>
          <w:rFonts w:ascii="Cambria Math" w:hAnsi="Cambria Math"/>
          <w:sz w:val="24"/>
          <w:szCs w:val="24"/>
        </w:rPr>
        <w:t>An option is a derivative contract which gives the holder of the option the right to buy/sell an asset at a p</w:t>
      </w:r>
      <w:r>
        <w:rPr>
          <w:rFonts w:ascii="Cambria Math" w:hAnsi="Cambria Math"/>
          <w:sz w:val="24"/>
          <w:szCs w:val="24"/>
        </w:rPr>
        <w:t>redetermined</w:t>
      </w:r>
      <w:r w:rsidR="0014554F">
        <w:rPr>
          <w:rFonts w:ascii="Cambria Math" w:hAnsi="Cambria Math"/>
          <w:sz w:val="24"/>
          <w:szCs w:val="24"/>
        </w:rPr>
        <w:t xml:space="preserve"> price</w:t>
      </w:r>
      <w:r>
        <w:rPr>
          <w:rFonts w:ascii="Cambria Math" w:hAnsi="Cambria Math"/>
          <w:sz w:val="24"/>
          <w:szCs w:val="24"/>
        </w:rPr>
        <w:t xml:space="preserve"> known as the ‘strike price’.</w:t>
      </w:r>
      <w:r w:rsidR="0014554F">
        <w:rPr>
          <w:rFonts w:ascii="Cambria Math" w:hAnsi="Cambria Math"/>
          <w:sz w:val="24"/>
          <w:szCs w:val="24"/>
        </w:rPr>
        <w:t xml:space="preserve"> </w:t>
      </w:r>
      <w:r>
        <w:rPr>
          <w:rFonts w:ascii="Cambria Math" w:hAnsi="Cambria Math"/>
          <w:sz w:val="24"/>
          <w:szCs w:val="24"/>
        </w:rPr>
        <w:t xml:space="preserve">A ‘call option’ is one which gives the holder a right to buy the underlying asset whereas a ‘put option’ gives the shareholder the option to sell the underlying asset. </w:t>
      </w:r>
      <w:r w:rsidR="0014554F">
        <w:rPr>
          <w:rFonts w:ascii="Cambria Math" w:hAnsi="Cambria Math"/>
          <w:sz w:val="24"/>
          <w:szCs w:val="24"/>
        </w:rPr>
        <w:t xml:space="preserve">An </w:t>
      </w:r>
      <w:r w:rsidR="00E11B8E">
        <w:rPr>
          <w:rFonts w:ascii="Cambria Math" w:hAnsi="Cambria Math"/>
          <w:sz w:val="24"/>
          <w:szCs w:val="24"/>
        </w:rPr>
        <w:t xml:space="preserve">American option would let the holder exercise that option before the expiry date but </w:t>
      </w:r>
      <w:r>
        <w:rPr>
          <w:rFonts w:ascii="Cambria Math" w:hAnsi="Cambria Math"/>
          <w:sz w:val="24"/>
          <w:szCs w:val="24"/>
        </w:rPr>
        <w:t>a</w:t>
      </w:r>
      <w:r w:rsidR="00E11B8E">
        <w:rPr>
          <w:rFonts w:ascii="Cambria Math" w:hAnsi="Cambria Math"/>
          <w:sz w:val="24"/>
          <w:szCs w:val="24"/>
        </w:rPr>
        <w:t xml:space="preserve"> European option doesn’t. </w:t>
      </w:r>
      <w:r>
        <w:rPr>
          <w:rFonts w:ascii="Cambria Math" w:hAnsi="Cambria Math"/>
          <w:sz w:val="24"/>
          <w:szCs w:val="24"/>
        </w:rPr>
        <w:t xml:space="preserve">An option hedging strategy eliminates the downside risk while keeping the upside potential. Obviously, this comes with a cost, known as an option premium which the buyer of an option pays to the seller. </w:t>
      </w:r>
    </w:p>
    <w:p w14:paraId="2AE2EA44" w14:textId="6741E714" w:rsidR="00C52F3B" w:rsidRDefault="00C52F3B" w:rsidP="00CA5DA9">
      <w:pPr>
        <w:rPr>
          <w:rFonts w:ascii="Cambria Math" w:hAnsi="Cambria Math"/>
          <w:i/>
          <w:iCs/>
          <w:sz w:val="24"/>
          <w:szCs w:val="24"/>
        </w:rPr>
      </w:pPr>
      <w:r w:rsidRPr="00C52F3B">
        <w:rPr>
          <w:rFonts w:ascii="Cambria Math" w:hAnsi="Cambria Math"/>
          <w:i/>
          <w:iCs/>
          <w:sz w:val="24"/>
          <w:szCs w:val="24"/>
        </w:rPr>
        <w:t xml:space="preserve">For further discussion, we will use the asset ‘Tata Steel Equity share’ which is listed on the stock exchange alongside various options with different strike prices and maturity dates. The current price is Rs 1000 and the option contracts are traded in lot sizes of </w:t>
      </w:r>
      <w:r w:rsidR="005D299D">
        <w:rPr>
          <w:rFonts w:ascii="Cambria Math" w:hAnsi="Cambria Math"/>
          <w:i/>
          <w:iCs/>
          <w:sz w:val="24"/>
          <w:szCs w:val="24"/>
        </w:rPr>
        <w:t>10</w:t>
      </w:r>
      <w:r w:rsidRPr="00C52F3B">
        <w:rPr>
          <w:rFonts w:ascii="Cambria Math" w:hAnsi="Cambria Math"/>
          <w:i/>
          <w:iCs/>
          <w:sz w:val="24"/>
          <w:szCs w:val="24"/>
        </w:rPr>
        <w:t>0.</w:t>
      </w:r>
    </w:p>
    <w:p w14:paraId="713E7306" w14:textId="77777777" w:rsidR="00CD12F6" w:rsidRPr="00CD12F6" w:rsidRDefault="00CD12F6" w:rsidP="00CA5DA9">
      <w:pPr>
        <w:rPr>
          <w:rFonts w:ascii="Cambria Math" w:hAnsi="Cambria Math"/>
          <w:sz w:val="24"/>
          <w:szCs w:val="24"/>
        </w:rPr>
      </w:pPr>
      <w:r w:rsidRPr="00CD12F6">
        <w:rPr>
          <w:rFonts w:ascii="Cambria Math" w:hAnsi="Cambria Math"/>
          <w:sz w:val="24"/>
          <w:szCs w:val="24"/>
        </w:rPr>
        <w:t>We shall assume that:</w:t>
      </w:r>
    </w:p>
    <w:p w14:paraId="2D8BD689" w14:textId="322975E4" w:rsidR="00C52F3B" w:rsidRDefault="00CD12F6" w:rsidP="00CA5DA9">
      <w:pPr>
        <w:pStyle w:val="ListParagraph"/>
        <w:numPr>
          <w:ilvl w:val="0"/>
          <w:numId w:val="1"/>
        </w:numPr>
        <w:rPr>
          <w:rFonts w:ascii="Cambria Math" w:hAnsi="Cambria Math"/>
          <w:sz w:val="24"/>
          <w:szCs w:val="24"/>
        </w:rPr>
      </w:pPr>
      <w:r>
        <w:rPr>
          <w:rFonts w:ascii="Cambria Math" w:hAnsi="Cambria Math"/>
          <w:sz w:val="24"/>
          <w:szCs w:val="24"/>
        </w:rPr>
        <w:t>T</w:t>
      </w:r>
      <w:r w:rsidRPr="00CD12F6">
        <w:rPr>
          <w:rFonts w:ascii="Cambria Math" w:hAnsi="Cambria Math"/>
          <w:sz w:val="24"/>
          <w:szCs w:val="24"/>
        </w:rPr>
        <w:t>he asset to be hedged and the underlying asset of the option are identical, i.e., Tata Steel equity share</w:t>
      </w:r>
    </w:p>
    <w:p w14:paraId="7B9C8AE9" w14:textId="62F551F4" w:rsidR="00CD12F6" w:rsidRDefault="00CD12F6" w:rsidP="00CA5DA9">
      <w:pPr>
        <w:pStyle w:val="ListParagraph"/>
        <w:numPr>
          <w:ilvl w:val="0"/>
          <w:numId w:val="1"/>
        </w:numPr>
        <w:rPr>
          <w:rFonts w:ascii="Cambria Math" w:hAnsi="Cambria Math"/>
          <w:sz w:val="24"/>
          <w:szCs w:val="24"/>
        </w:rPr>
      </w:pPr>
      <w:r>
        <w:rPr>
          <w:rFonts w:ascii="Cambria Math" w:hAnsi="Cambria Math"/>
          <w:sz w:val="24"/>
          <w:szCs w:val="24"/>
        </w:rPr>
        <w:t>The expiry date is in line with the date of sale planned or the option is an American option, which can be exercised at any time.</w:t>
      </w:r>
    </w:p>
    <w:p w14:paraId="7855E843" w14:textId="6A04E53A" w:rsidR="00CD12F6" w:rsidRDefault="00672A33" w:rsidP="00CA5DA9">
      <w:pPr>
        <w:pStyle w:val="ListParagraph"/>
        <w:numPr>
          <w:ilvl w:val="0"/>
          <w:numId w:val="1"/>
        </w:numPr>
        <w:rPr>
          <w:rFonts w:ascii="Cambria Math" w:hAnsi="Cambria Math"/>
          <w:sz w:val="24"/>
          <w:szCs w:val="24"/>
        </w:rPr>
      </w:pPr>
      <w:r>
        <w:rPr>
          <w:rFonts w:ascii="Cambria Math" w:hAnsi="Cambria Math"/>
          <w:sz w:val="24"/>
          <w:szCs w:val="24"/>
        </w:rPr>
        <w:t>The lot size is in line with the number of shares held by the investor</w:t>
      </w:r>
    </w:p>
    <w:p w14:paraId="58DADC80" w14:textId="45FCFE02" w:rsidR="00672A33" w:rsidRDefault="00DA42D6" w:rsidP="00CA5DA9">
      <w:pPr>
        <w:rPr>
          <w:rFonts w:ascii="Cambria Math" w:hAnsi="Cambria Math"/>
          <w:sz w:val="24"/>
          <w:szCs w:val="24"/>
        </w:rPr>
      </w:pPr>
      <w:r>
        <w:rPr>
          <w:rFonts w:ascii="Cambria Math" w:hAnsi="Cambria Math"/>
          <w:sz w:val="24"/>
          <w:szCs w:val="24"/>
        </w:rPr>
        <w:t>Let’s say, Investor A has 100 equity shares of Tata Steel for which he wants to mitigate the downside risk as he foresees a lot of volatility in the coming 1 month. A put option which gives the investor the right to sell at 1100 in 1 month, is priced at Rs 110. Hence, the investor would purchase 1 lot of the put options. Let’s further examine how this hedge will work.</w:t>
      </w:r>
    </w:p>
    <w:p w14:paraId="12D3AA7E" w14:textId="2F63FEA2" w:rsidR="00DA42D6" w:rsidRDefault="00DA42D6" w:rsidP="00CA5DA9">
      <w:pPr>
        <w:rPr>
          <w:rFonts w:ascii="Cambria Math" w:hAnsi="Cambria Math"/>
          <w:sz w:val="24"/>
          <w:szCs w:val="24"/>
        </w:rPr>
      </w:pPr>
      <w:r w:rsidRPr="00C141F3">
        <w:rPr>
          <w:rFonts w:ascii="Cambria Math" w:hAnsi="Cambria Math"/>
          <w:sz w:val="24"/>
          <w:szCs w:val="24"/>
          <w:u w:val="single"/>
        </w:rPr>
        <w:t>Scenario 1: Price rises to 1150.</w:t>
      </w:r>
      <w:r w:rsidRPr="00C141F3">
        <w:rPr>
          <w:rFonts w:ascii="Cambria Math" w:hAnsi="Cambria Math"/>
          <w:sz w:val="24"/>
          <w:szCs w:val="24"/>
          <w:u w:val="single"/>
        </w:rPr>
        <w:br/>
      </w:r>
      <w:r>
        <w:rPr>
          <w:rFonts w:ascii="Cambria Math" w:hAnsi="Cambria Math"/>
          <w:sz w:val="24"/>
          <w:szCs w:val="24"/>
        </w:rPr>
        <w:t>The option will not be exercised. The investor loses premium of 110 but gains Rs 150 per share. Hence</w:t>
      </w:r>
      <w:r w:rsidR="00C141F3">
        <w:rPr>
          <w:rFonts w:ascii="Cambria Math" w:hAnsi="Cambria Math"/>
          <w:sz w:val="24"/>
          <w:szCs w:val="24"/>
        </w:rPr>
        <w:t>,</w:t>
      </w:r>
      <w:r>
        <w:rPr>
          <w:rFonts w:ascii="Cambria Math" w:hAnsi="Cambria Math"/>
          <w:sz w:val="24"/>
          <w:szCs w:val="24"/>
        </w:rPr>
        <w:t xml:space="preserve"> the investor is better off buying the put option.</w:t>
      </w:r>
    </w:p>
    <w:p w14:paraId="48FF950D" w14:textId="55260FAA" w:rsidR="00DA42D6" w:rsidRPr="00C141F3" w:rsidRDefault="00DA42D6" w:rsidP="00CA5DA9">
      <w:pPr>
        <w:rPr>
          <w:rFonts w:ascii="Cambria Math" w:hAnsi="Cambria Math"/>
          <w:sz w:val="24"/>
          <w:szCs w:val="24"/>
          <w:u w:val="single"/>
        </w:rPr>
      </w:pPr>
      <w:r w:rsidRPr="00C141F3">
        <w:rPr>
          <w:rFonts w:ascii="Cambria Math" w:hAnsi="Cambria Math"/>
          <w:sz w:val="24"/>
          <w:szCs w:val="24"/>
          <w:u w:val="single"/>
        </w:rPr>
        <w:t>Scenario 2: Price rises to 1050</w:t>
      </w:r>
    </w:p>
    <w:p w14:paraId="3033CCE4" w14:textId="6D1A921B" w:rsidR="00DA42D6" w:rsidRDefault="00DA42D6" w:rsidP="00CA5DA9">
      <w:pPr>
        <w:rPr>
          <w:rFonts w:ascii="Cambria Math" w:hAnsi="Cambria Math"/>
          <w:sz w:val="24"/>
          <w:szCs w:val="24"/>
        </w:rPr>
      </w:pPr>
      <w:r>
        <w:rPr>
          <w:rFonts w:ascii="Cambria Math" w:hAnsi="Cambria Math"/>
          <w:sz w:val="24"/>
          <w:szCs w:val="24"/>
        </w:rPr>
        <w:t xml:space="preserve">The option is exercised. The investor gains Rs 50 per share on the equity and 50 per share on the option. He paid a premium of 110 per share. </w:t>
      </w:r>
      <w:r w:rsidR="00C141F3">
        <w:rPr>
          <w:rFonts w:ascii="Cambria Math" w:hAnsi="Cambria Math"/>
          <w:sz w:val="24"/>
          <w:szCs w:val="24"/>
        </w:rPr>
        <w:t>So,</w:t>
      </w:r>
      <w:r>
        <w:rPr>
          <w:rFonts w:ascii="Cambria Math" w:hAnsi="Cambria Math"/>
          <w:sz w:val="24"/>
          <w:szCs w:val="24"/>
        </w:rPr>
        <w:t xml:space="preserve"> the investor loses net 10 Rs per share.</w:t>
      </w:r>
    </w:p>
    <w:p w14:paraId="20861F3C" w14:textId="66AAF002" w:rsidR="00DA42D6" w:rsidRPr="00C141F3" w:rsidRDefault="00DA42D6" w:rsidP="00CA5DA9">
      <w:pPr>
        <w:rPr>
          <w:rFonts w:ascii="Cambria Math" w:hAnsi="Cambria Math"/>
          <w:sz w:val="24"/>
          <w:szCs w:val="24"/>
          <w:u w:val="single"/>
        </w:rPr>
      </w:pPr>
      <w:r w:rsidRPr="00C141F3">
        <w:rPr>
          <w:rFonts w:ascii="Cambria Math" w:hAnsi="Cambria Math"/>
          <w:sz w:val="24"/>
          <w:szCs w:val="24"/>
          <w:u w:val="single"/>
        </w:rPr>
        <w:t>Scenario 3: Price falls to 950</w:t>
      </w:r>
    </w:p>
    <w:p w14:paraId="46C658BD" w14:textId="1E47FB37" w:rsidR="008E38D4" w:rsidRDefault="008E38D4" w:rsidP="00CA5DA9">
      <w:pPr>
        <w:rPr>
          <w:rFonts w:ascii="Cambria Math" w:hAnsi="Cambria Math"/>
          <w:sz w:val="24"/>
          <w:szCs w:val="24"/>
        </w:rPr>
      </w:pPr>
      <w:r>
        <w:rPr>
          <w:rFonts w:ascii="Cambria Math" w:hAnsi="Cambria Math"/>
          <w:sz w:val="24"/>
          <w:szCs w:val="24"/>
        </w:rPr>
        <w:t>The option is exercised. The investor loses Rs 50 per share on the equities and Rs 110 as premium but he gains Rs 150 per share on exercising the option. Here too, the investor caps his loss at Rs 10 per share</w:t>
      </w:r>
    </w:p>
    <w:tbl>
      <w:tblPr>
        <w:tblStyle w:val="TableGrid"/>
        <w:tblW w:w="0" w:type="auto"/>
        <w:tblLook w:val="04A0" w:firstRow="1" w:lastRow="0" w:firstColumn="1" w:lastColumn="0" w:noHBand="0" w:noVBand="1"/>
      </w:tblPr>
      <w:tblGrid>
        <w:gridCol w:w="1100"/>
        <w:gridCol w:w="1800"/>
        <w:gridCol w:w="1840"/>
        <w:gridCol w:w="1300"/>
        <w:gridCol w:w="1060"/>
      </w:tblGrid>
      <w:tr w:rsidR="008E38D4" w:rsidRPr="008E38D4" w14:paraId="2C1BEF4D" w14:textId="77777777" w:rsidTr="008E38D4">
        <w:trPr>
          <w:trHeight w:val="290"/>
        </w:trPr>
        <w:tc>
          <w:tcPr>
            <w:tcW w:w="1100" w:type="dxa"/>
            <w:noWrap/>
            <w:hideMark/>
          </w:tcPr>
          <w:p w14:paraId="76E05ED5"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Share Price</w:t>
            </w:r>
          </w:p>
        </w:tc>
        <w:tc>
          <w:tcPr>
            <w:tcW w:w="1800" w:type="dxa"/>
            <w:noWrap/>
            <w:hideMark/>
          </w:tcPr>
          <w:p w14:paraId="18A2F88F"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Payoff from equity</w:t>
            </w:r>
          </w:p>
        </w:tc>
        <w:tc>
          <w:tcPr>
            <w:tcW w:w="1840" w:type="dxa"/>
            <w:noWrap/>
            <w:hideMark/>
          </w:tcPr>
          <w:p w14:paraId="3F263E12"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Payoff from option</w:t>
            </w:r>
          </w:p>
        </w:tc>
        <w:tc>
          <w:tcPr>
            <w:tcW w:w="1300" w:type="dxa"/>
            <w:noWrap/>
            <w:hideMark/>
          </w:tcPr>
          <w:p w14:paraId="39281441"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Net premium</w:t>
            </w:r>
          </w:p>
        </w:tc>
        <w:tc>
          <w:tcPr>
            <w:tcW w:w="1060" w:type="dxa"/>
            <w:noWrap/>
            <w:hideMark/>
          </w:tcPr>
          <w:p w14:paraId="519DC1AD"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Net payoff</w:t>
            </w:r>
          </w:p>
        </w:tc>
      </w:tr>
      <w:tr w:rsidR="008E38D4" w:rsidRPr="008E38D4" w14:paraId="338B9C60" w14:textId="77777777" w:rsidTr="008E38D4">
        <w:trPr>
          <w:trHeight w:val="290"/>
        </w:trPr>
        <w:tc>
          <w:tcPr>
            <w:tcW w:w="1100" w:type="dxa"/>
            <w:noWrap/>
            <w:hideMark/>
          </w:tcPr>
          <w:p w14:paraId="46B83490"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900</w:t>
            </w:r>
          </w:p>
        </w:tc>
        <w:tc>
          <w:tcPr>
            <w:tcW w:w="1800" w:type="dxa"/>
            <w:noWrap/>
            <w:hideMark/>
          </w:tcPr>
          <w:p w14:paraId="23C55F1E"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-100</w:t>
            </w:r>
          </w:p>
        </w:tc>
        <w:tc>
          <w:tcPr>
            <w:tcW w:w="1840" w:type="dxa"/>
            <w:noWrap/>
            <w:hideMark/>
          </w:tcPr>
          <w:p w14:paraId="65DEBD77"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200</w:t>
            </w:r>
          </w:p>
        </w:tc>
        <w:tc>
          <w:tcPr>
            <w:tcW w:w="1300" w:type="dxa"/>
            <w:noWrap/>
            <w:hideMark/>
          </w:tcPr>
          <w:p w14:paraId="2D176795"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-110</w:t>
            </w:r>
          </w:p>
        </w:tc>
        <w:tc>
          <w:tcPr>
            <w:tcW w:w="1060" w:type="dxa"/>
            <w:noWrap/>
            <w:hideMark/>
          </w:tcPr>
          <w:p w14:paraId="75ED8170"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-10</w:t>
            </w:r>
          </w:p>
        </w:tc>
      </w:tr>
      <w:tr w:rsidR="008E38D4" w:rsidRPr="008E38D4" w14:paraId="69AE91C9" w14:textId="77777777" w:rsidTr="008E38D4">
        <w:trPr>
          <w:trHeight w:val="290"/>
        </w:trPr>
        <w:tc>
          <w:tcPr>
            <w:tcW w:w="1100" w:type="dxa"/>
            <w:noWrap/>
            <w:hideMark/>
          </w:tcPr>
          <w:p w14:paraId="0DFADDED" w14:textId="77777777" w:rsidR="008E38D4" w:rsidRPr="008E38D4" w:rsidRDefault="008E38D4" w:rsidP="00CA5DA9">
            <w:pPr>
              <w:rPr>
                <w:rFonts w:ascii="Cambria Math" w:hAnsi="Cambria Math"/>
                <w:sz w:val="24"/>
                <w:szCs w:val="24"/>
              </w:rPr>
            </w:pPr>
            <w:r w:rsidRPr="008E38D4">
              <w:rPr>
                <w:rFonts w:ascii="Cambria Math" w:hAnsi="Cambria Math"/>
                <w:sz w:val="24"/>
                <w:szCs w:val="24"/>
              </w:rPr>
              <w:lastRenderedPageBreak/>
              <w:t>950</w:t>
            </w:r>
          </w:p>
        </w:tc>
        <w:tc>
          <w:tcPr>
            <w:tcW w:w="1800" w:type="dxa"/>
            <w:noWrap/>
            <w:hideMark/>
          </w:tcPr>
          <w:p w14:paraId="6C2098C6"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-50</w:t>
            </w:r>
          </w:p>
        </w:tc>
        <w:tc>
          <w:tcPr>
            <w:tcW w:w="1840" w:type="dxa"/>
            <w:noWrap/>
            <w:hideMark/>
          </w:tcPr>
          <w:p w14:paraId="3991CF4D"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150</w:t>
            </w:r>
          </w:p>
        </w:tc>
        <w:tc>
          <w:tcPr>
            <w:tcW w:w="1300" w:type="dxa"/>
            <w:noWrap/>
            <w:hideMark/>
          </w:tcPr>
          <w:p w14:paraId="29CAA20D"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-110</w:t>
            </w:r>
          </w:p>
        </w:tc>
        <w:tc>
          <w:tcPr>
            <w:tcW w:w="1060" w:type="dxa"/>
            <w:noWrap/>
            <w:hideMark/>
          </w:tcPr>
          <w:p w14:paraId="5DB7A7D5"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-10</w:t>
            </w:r>
          </w:p>
        </w:tc>
      </w:tr>
      <w:tr w:rsidR="008E38D4" w:rsidRPr="008E38D4" w14:paraId="0A71C2EA" w14:textId="77777777" w:rsidTr="008E38D4">
        <w:trPr>
          <w:trHeight w:val="290"/>
        </w:trPr>
        <w:tc>
          <w:tcPr>
            <w:tcW w:w="1100" w:type="dxa"/>
            <w:noWrap/>
            <w:hideMark/>
          </w:tcPr>
          <w:p w14:paraId="691BAC13"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1000</w:t>
            </w:r>
          </w:p>
        </w:tc>
        <w:tc>
          <w:tcPr>
            <w:tcW w:w="1800" w:type="dxa"/>
            <w:noWrap/>
            <w:hideMark/>
          </w:tcPr>
          <w:p w14:paraId="65A54FDC"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0</w:t>
            </w:r>
          </w:p>
        </w:tc>
        <w:tc>
          <w:tcPr>
            <w:tcW w:w="1840" w:type="dxa"/>
            <w:noWrap/>
            <w:hideMark/>
          </w:tcPr>
          <w:p w14:paraId="11F58789"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100</w:t>
            </w:r>
          </w:p>
        </w:tc>
        <w:tc>
          <w:tcPr>
            <w:tcW w:w="1300" w:type="dxa"/>
            <w:noWrap/>
            <w:hideMark/>
          </w:tcPr>
          <w:p w14:paraId="135D59BB"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-110</w:t>
            </w:r>
          </w:p>
        </w:tc>
        <w:tc>
          <w:tcPr>
            <w:tcW w:w="1060" w:type="dxa"/>
            <w:noWrap/>
            <w:hideMark/>
          </w:tcPr>
          <w:p w14:paraId="7F480EEE"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-10</w:t>
            </w:r>
          </w:p>
        </w:tc>
      </w:tr>
      <w:tr w:rsidR="008E38D4" w:rsidRPr="008E38D4" w14:paraId="645A6C78" w14:textId="77777777" w:rsidTr="008E38D4">
        <w:trPr>
          <w:trHeight w:val="290"/>
        </w:trPr>
        <w:tc>
          <w:tcPr>
            <w:tcW w:w="1100" w:type="dxa"/>
            <w:noWrap/>
            <w:hideMark/>
          </w:tcPr>
          <w:p w14:paraId="494F47A0"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1050</w:t>
            </w:r>
          </w:p>
        </w:tc>
        <w:tc>
          <w:tcPr>
            <w:tcW w:w="1800" w:type="dxa"/>
            <w:noWrap/>
            <w:hideMark/>
          </w:tcPr>
          <w:p w14:paraId="017B9CF2"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50</w:t>
            </w:r>
          </w:p>
        </w:tc>
        <w:tc>
          <w:tcPr>
            <w:tcW w:w="1840" w:type="dxa"/>
            <w:noWrap/>
            <w:hideMark/>
          </w:tcPr>
          <w:p w14:paraId="7E409EE4"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50</w:t>
            </w:r>
          </w:p>
        </w:tc>
        <w:tc>
          <w:tcPr>
            <w:tcW w:w="1300" w:type="dxa"/>
            <w:noWrap/>
            <w:hideMark/>
          </w:tcPr>
          <w:p w14:paraId="101C8CC4"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-110</w:t>
            </w:r>
          </w:p>
        </w:tc>
        <w:tc>
          <w:tcPr>
            <w:tcW w:w="1060" w:type="dxa"/>
            <w:noWrap/>
            <w:hideMark/>
          </w:tcPr>
          <w:p w14:paraId="3250E47D"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-10</w:t>
            </w:r>
          </w:p>
        </w:tc>
      </w:tr>
      <w:tr w:rsidR="008E38D4" w:rsidRPr="008E38D4" w14:paraId="48E79623" w14:textId="77777777" w:rsidTr="008E38D4">
        <w:trPr>
          <w:trHeight w:val="290"/>
        </w:trPr>
        <w:tc>
          <w:tcPr>
            <w:tcW w:w="1100" w:type="dxa"/>
            <w:noWrap/>
            <w:hideMark/>
          </w:tcPr>
          <w:p w14:paraId="7C00285C"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1100</w:t>
            </w:r>
          </w:p>
        </w:tc>
        <w:tc>
          <w:tcPr>
            <w:tcW w:w="1800" w:type="dxa"/>
            <w:noWrap/>
            <w:hideMark/>
          </w:tcPr>
          <w:p w14:paraId="2D19396C"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100</w:t>
            </w:r>
          </w:p>
        </w:tc>
        <w:tc>
          <w:tcPr>
            <w:tcW w:w="1840" w:type="dxa"/>
            <w:noWrap/>
            <w:hideMark/>
          </w:tcPr>
          <w:p w14:paraId="3BBCC292"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0</w:t>
            </w:r>
          </w:p>
        </w:tc>
        <w:tc>
          <w:tcPr>
            <w:tcW w:w="1300" w:type="dxa"/>
            <w:noWrap/>
            <w:hideMark/>
          </w:tcPr>
          <w:p w14:paraId="538128D0"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-110</w:t>
            </w:r>
          </w:p>
        </w:tc>
        <w:tc>
          <w:tcPr>
            <w:tcW w:w="1060" w:type="dxa"/>
            <w:noWrap/>
            <w:hideMark/>
          </w:tcPr>
          <w:p w14:paraId="1D07A23C"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-10</w:t>
            </w:r>
          </w:p>
        </w:tc>
      </w:tr>
      <w:tr w:rsidR="008E38D4" w:rsidRPr="008E38D4" w14:paraId="4C4FF8E2" w14:textId="77777777" w:rsidTr="008E38D4">
        <w:trPr>
          <w:trHeight w:val="290"/>
        </w:trPr>
        <w:tc>
          <w:tcPr>
            <w:tcW w:w="1100" w:type="dxa"/>
            <w:noWrap/>
            <w:hideMark/>
          </w:tcPr>
          <w:p w14:paraId="77779B59"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1150</w:t>
            </w:r>
          </w:p>
        </w:tc>
        <w:tc>
          <w:tcPr>
            <w:tcW w:w="1800" w:type="dxa"/>
            <w:noWrap/>
            <w:hideMark/>
          </w:tcPr>
          <w:p w14:paraId="428F8EFB"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150</w:t>
            </w:r>
          </w:p>
        </w:tc>
        <w:tc>
          <w:tcPr>
            <w:tcW w:w="1840" w:type="dxa"/>
            <w:noWrap/>
            <w:hideMark/>
          </w:tcPr>
          <w:p w14:paraId="186D1185"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0</w:t>
            </w:r>
          </w:p>
        </w:tc>
        <w:tc>
          <w:tcPr>
            <w:tcW w:w="1300" w:type="dxa"/>
            <w:noWrap/>
            <w:hideMark/>
          </w:tcPr>
          <w:p w14:paraId="2B45E918"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-110</w:t>
            </w:r>
          </w:p>
        </w:tc>
        <w:tc>
          <w:tcPr>
            <w:tcW w:w="1060" w:type="dxa"/>
            <w:noWrap/>
            <w:hideMark/>
          </w:tcPr>
          <w:p w14:paraId="340C0607"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40</w:t>
            </w:r>
          </w:p>
        </w:tc>
      </w:tr>
      <w:tr w:rsidR="008E38D4" w:rsidRPr="008E38D4" w14:paraId="6C5F2D21" w14:textId="77777777" w:rsidTr="008E38D4">
        <w:trPr>
          <w:trHeight w:val="290"/>
        </w:trPr>
        <w:tc>
          <w:tcPr>
            <w:tcW w:w="1100" w:type="dxa"/>
            <w:noWrap/>
            <w:hideMark/>
          </w:tcPr>
          <w:p w14:paraId="330BD4BD"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1200</w:t>
            </w:r>
          </w:p>
        </w:tc>
        <w:tc>
          <w:tcPr>
            <w:tcW w:w="1800" w:type="dxa"/>
            <w:noWrap/>
            <w:hideMark/>
          </w:tcPr>
          <w:p w14:paraId="67ED19F2"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200</w:t>
            </w:r>
          </w:p>
        </w:tc>
        <w:tc>
          <w:tcPr>
            <w:tcW w:w="1840" w:type="dxa"/>
            <w:noWrap/>
            <w:hideMark/>
          </w:tcPr>
          <w:p w14:paraId="0E09371A"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0</w:t>
            </w:r>
          </w:p>
        </w:tc>
        <w:tc>
          <w:tcPr>
            <w:tcW w:w="1300" w:type="dxa"/>
            <w:noWrap/>
            <w:hideMark/>
          </w:tcPr>
          <w:p w14:paraId="1293A04A"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-110</w:t>
            </w:r>
          </w:p>
        </w:tc>
        <w:tc>
          <w:tcPr>
            <w:tcW w:w="1060" w:type="dxa"/>
            <w:noWrap/>
            <w:hideMark/>
          </w:tcPr>
          <w:p w14:paraId="4478E111"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90</w:t>
            </w:r>
          </w:p>
        </w:tc>
      </w:tr>
    </w:tbl>
    <w:p w14:paraId="4A7D3E34" w14:textId="6BBAF9A8" w:rsidR="008E38D4" w:rsidRDefault="008E38D4" w:rsidP="00CA5DA9">
      <w:pPr>
        <w:rPr>
          <w:rFonts w:ascii="Cambria Math" w:hAnsi="Cambria Math"/>
          <w:sz w:val="24"/>
          <w:szCs w:val="24"/>
        </w:rPr>
      </w:pPr>
    </w:p>
    <w:p w14:paraId="7F088F93" w14:textId="1568386E" w:rsidR="008E38D4" w:rsidRDefault="008E38D4" w:rsidP="00CA5DA9">
      <w:pPr>
        <w:rPr>
          <w:rFonts w:ascii="Cambria Math" w:hAnsi="Cambria Math"/>
          <w:sz w:val="24"/>
          <w:szCs w:val="24"/>
        </w:rPr>
      </w:pPr>
      <w:r>
        <w:rPr>
          <w:noProof/>
        </w:rPr>
        <w:drawing>
          <wp:inline distT="0" distB="0" distL="0" distR="0" wp14:anchorId="5BB232C5" wp14:editId="5E52A7C0">
            <wp:extent cx="4572000" cy="2743200"/>
            <wp:effectExtent l="0" t="0" r="0" b="0"/>
            <wp:docPr id="1" name="Chart 1">
              <a:extLst xmlns:a="http://schemas.openxmlformats.org/drawingml/2006/main">
                <a:ext uri="{FF2B5EF4-FFF2-40B4-BE49-F238E27FC236}">
                  <a16:creationId xmlns:a16="http://schemas.microsoft.com/office/drawing/2014/main" id="{7C73B7E2-05CC-4A66-9972-EADFC43352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A49942C" w14:textId="78A8F603" w:rsidR="008E38D4" w:rsidRDefault="008E38D4" w:rsidP="00CA5DA9">
      <w:pPr>
        <w:rPr>
          <w:rFonts w:ascii="Cambria Math" w:hAnsi="Cambria Math"/>
          <w:sz w:val="24"/>
          <w:szCs w:val="24"/>
        </w:rPr>
      </w:pPr>
    </w:p>
    <w:p w14:paraId="04F2C588" w14:textId="04C24763" w:rsidR="008E38D4" w:rsidRPr="00672A33" w:rsidRDefault="00423BAE" w:rsidP="00CA5DA9">
      <w:pPr>
        <w:rPr>
          <w:rFonts w:ascii="Cambria Math" w:hAnsi="Cambria Math"/>
          <w:sz w:val="24"/>
          <w:szCs w:val="24"/>
        </w:rPr>
      </w:pPr>
      <w:r>
        <w:rPr>
          <w:rFonts w:ascii="Cambria Math" w:hAnsi="Cambria Math"/>
          <w:sz w:val="24"/>
          <w:szCs w:val="24"/>
        </w:rPr>
        <w:t xml:space="preserve">This strategy is called a protective put or a married put, since we have assumed that the strategy covers the entire long position. </w:t>
      </w:r>
      <w:r w:rsidR="00582376">
        <w:rPr>
          <w:rFonts w:ascii="Cambria Math" w:hAnsi="Cambria Math"/>
          <w:sz w:val="24"/>
          <w:szCs w:val="24"/>
        </w:rPr>
        <w:t>The ‘associated cost’ here is the 10 Rs per share that the investor loses at a share price below 110. Hence, an option strategy can be used to limit the downside risk, without capping the upside potential, at an associated cost.</w:t>
      </w:r>
    </w:p>
    <w:sectPr w:rsidR="008E38D4" w:rsidRPr="00672A33" w:rsidSect="00D54EE9">
      <w:footerReference w:type="default" r:id="rId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5CC4D" w14:textId="77777777" w:rsidR="0084548E" w:rsidRDefault="0084548E" w:rsidP="00D54EE9">
      <w:pPr>
        <w:spacing w:after="0" w:line="240" w:lineRule="auto"/>
      </w:pPr>
      <w:r>
        <w:separator/>
      </w:r>
    </w:p>
  </w:endnote>
  <w:endnote w:type="continuationSeparator" w:id="0">
    <w:p w14:paraId="295BDACE" w14:textId="77777777" w:rsidR="0084548E" w:rsidRDefault="0084548E" w:rsidP="00D54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159807"/>
      <w:docPartObj>
        <w:docPartGallery w:val="Page Numbers (Bottom of Page)"/>
        <w:docPartUnique/>
      </w:docPartObj>
    </w:sdtPr>
    <w:sdtEndPr>
      <w:rPr>
        <w:rFonts w:ascii="Cambria Math" w:hAnsi="Cambria Math"/>
        <w:noProof/>
        <w:sz w:val="24"/>
        <w:szCs w:val="24"/>
      </w:rPr>
    </w:sdtEndPr>
    <w:sdtContent>
      <w:p w14:paraId="4DCBE755" w14:textId="3932AC4F" w:rsidR="00D54EE9" w:rsidRPr="00D54EE9" w:rsidRDefault="00D54EE9">
        <w:pPr>
          <w:pStyle w:val="Footer"/>
          <w:jc w:val="right"/>
          <w:rPr>
            <w:rFonts w:ascii="Cambria Math" w:hAnsi="Cambria Math"/>
            <w:sz w:val="24"/>
            <w:szCs w:val="24"/>
          </w:rPr>
        </w:pPr>
        <w:r w:rsidRPr="00D54EE9">
          <w:rPr>
            <w:rFonts w:ascii="Cambria Math" w:hAnsi="Cambria Math"/>
            <w:sz w:val="24"/>
            <w:szCs w:val="24"/>
          </w:rPr>
          <w:fldChar w:fldCharType="begin"/>
        </w:r>
        <w:r w:rsidRPr="00D54EE9">
          <w:rPr>
            <w:rFonts w:ascii="Cambria Math" w:hAnsi="Cambria Math"/>
            <w:sz w:val="24"/>
            <w:szCs w:val="24"/>
          </w:rPr>
          <w:instrText xml:space="preserve"> PAGE   \* MERGEFORMAT </w:instrText>
        </w:r>
        <w:r w:rsidRPr="00D54EE9">
          <w:rPr>
            <w:rFonts w:ascii="Cambria Math" w:hAnsi="Cambria Math"/>
            <w:sz w:val="24"/>
            <w:szCs w:val="24"/>
          </w:rPr>
          <w:fldChar w:fldCharType="separate"/>
        </w:r>
        <w:r w:rsidRPr="00D54EE9">
          <w:rPr>
            <w:rFonts w:ascii="Cambria Math" w:hAnsi="Cambria Math"/>
            <w:noProof/>
            <w:sz w:val="24"/>
            <w:szCs w:val="24"/>
          </w:rPr>
          <w:t>2</w:t>
        </w:r>
        <w:r w:rsidRPr="00D54EE9">
          <w:rPr>
            <w:rFonts w:ascii="Cambria Math" w:hAnsi="Cambria Math"/>
            <w:noProof/>
            <w:sz w:val="24"/>
            <w:szCs w:val="24"/>
          </w:rPr>
          <w:fldChar w:fldCharType="end"/>
        </w:r>
      </w:p>
    </w:sdtContent>
  </w:sdt>
  <w:p w14:paraId="7FB4DC8E" w14:textId="77777777" w:rsidR="00D54EE9" w:rsidRDefault="00D54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73B51" w14:textId="77777777" w:rsidR="0084548E" w:rsidRDefault="0084548E" w:rsidP="00D54EE9">
      <w:pPr>
        <w:spacing w:after="0" w:line="240" w:lineRule="auto"/>
      </w:pPr>
      <w:r>
        <w:separator/>
      </w:r>
    </w:p>
  </w:footnote>
  <w:footnote w:type="continuationSeparator" w:id="0">
    <w:p w14:paraId="1709C50C" w14:textId="77777777" w:rsidR="0084548E" w:rsidRDefault="0084548E" w:rsidP="00D54E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0CA"/>
    <w:multiLevelType w:val="hybridMultilevel"/>
    <w:tmpl w:val="98E632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28C"/>
    <w:rsid w:val="0014554F"/>
    <w:rsid w:val="003D2172"/>
    <w:rsid w:val="00423BAE"/>
    <w:rsid w:val="004743F1"/>
    <w:rsid w:val="004C4FBC"/>
    <w:rsid w:val="004C6F0A"/>
    <w:rsid w:val="00582376"/>
    <w:rsid w:val="005D299D"/>
    <w:rsid w:val="00672A33"/>
    <w:rsid w:val="006A454B"/>
    <w:rsid w:val="00733947"/>
    <w:rsid w:val="0074328C"/>
    <w:rsid w:val="00790EB2"/>
    <w:rsid w:val="007F3860"/>
    <w:rsid w:val="0084548E"/>
    <w:rsid w:val="008E38D4"/>
    <w:rsid w:val="00AA14EA"/>
    <w:rsid w:val="00BB556F"/>
    <w:rsid w:val="00C07B65"/>
    <w:rsid w:val="00C141F3"/>
    <w:rsid w:val="00C52F3B"/>
    <w:rsid w:val="00C544A6"/>
    <w:rsid w:val="00CA5DA9"/>
    <w:rsid w:val="00CD12F6"/>
    <w:rsid w:val="00CE38B1"/>
    <w:rsid w:val="00D06B6D"/>
    <w:rsid w:val="00D54EE9"/>
    <w:rsid w:val="00DA42D6"/>
    <w:rsid w:val="00DB0449"/>
    <w:rsid w:val="00E11B8E"/>
    <w:rsid w:val="00F4573E"/>
  </w:rsids>
  <m:mathPr>
    <m:mathFont m:val="Cambria Math"/>
    <m:brkBin m:val="before"/>
    <m:brkBinSub m:val="--"/>
    <m:smallFrac m:val="0"/>
    <m:dispDef/>
    <m:lMargin m:val="0"/>
    <m:rMargin m:val="0"/>
    <m:defJc m:val="left"/>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0C75"/>
  <w15:chartTrackingRefBased/>
  <w15:docId w15:val="{9C3303D5-D839-4CED-AE97-909D5A047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339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33947"/>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7F3860"/>
    <w:rPr>
      <w:color w:val="808080"/>
    </w:rPr>
  </w:style>
  <w:style w:type="paragraph" w:styleId="Header">
    <w:name w:val="header"/>
    <w:basedOn w:val="Normal"/>
    <w:link w:val="HeaderChar"/>
    <w:uiPriority w:val="99"/>
    <w:unhideWhenUsed/>
    <w:rsid w:val="00D54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EE9"/>
  </w:style>
  <w:style w:type="paragraph" w:styleId="Footer">
    <w:name w:val="footer"/>
    <w:basedOn w:val="Normal"/>
    <w:link w:val="FooterChar"/>
    <w:uiPriority w:val="99"/>
    <w:unhideWhenUsed/>
    <w:rsid w:val="00D54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EE9"/>
  </w:style>
  <w:style w:type="paragraph" w:styleId="ListParagraph">
    <w:name w:val="List Paragraph"/>
    <w:basedOn w:val="Normal"/>
    <w:uiPriority w:val="34"/>
    <w:qFormat/>
    <w:rsid w:val="00CD12F6"/>
    <w:pPr>
      <w:ind w:left="720"/>
      <w:contextualSpacing/>
    </w:pPr>
  </w:style>
  <w:style w:type="table" w:styleId="TableGrid">
    <w:name w:val="Table Grid"/>
    <w:basedOn w:val="TableNormal"/>
    <w:uiPriority w:val="39"/>
    <w:rsid w:val="008E3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73015">
      <w:bodyDiv w:val="1"/>
      <w:marLeft w:val="0"/>
      <w:marRight w:val="0"/>
      <w:marTop w:val="0"/>
      <w:marBottom w:val="0"/>
      <w:divBdr>
        <w:top w:val="none" w:sz="0" w:space="0" w:color="auto"/>
        <w:left w:val="none" w:sz="0" w:space="0" w:color="auto"/>
        <w:bottom w:val="none" w:sz="0" w:space="0" w:color="auto"/>
        <w:right w:val="none" w:sz="0" w:space="0" w:color="auto"/>
      </w:divBdr>
    </w:div>
    <w:div w:id="63840053">
      <w:bodyDiv w:val="1"/>
      <w:marLeft w:val="0"/>
      <w:marRight w:val="0"/>
      <w:marTop w:val="0"/>
      <w:marBottom w:val="0"/>
      <w:divBdr>
        <w:top w:val="none" w:sz="0" w:space="0" w:color="auto"/>
        <w:left w:val="none" w:sz="0" w:space="0" w:color="auto"/>
        <w:bottom w:val="none" w:sz="0" w:space="0" w:color="auto"/>
        <w:right w:val="none" w:sz="0" w:space="0" w:color="auto"/>
      </w:divBdr>
    </w:div>
    <w:div w:id="266087999">
      <w:bodyDiv w:val="1"/>
      <w:marLeft w:val="0"/>
      <w:marRight w:val="0"/>
      <w:marTop w:val="0"/>
      <w:marBottom w:val="0"/>
      <w:divBdr>
        <w:top w:val="none" w:sz="0" w:space="0" w:color="auto"/>
        <w:left w:val="none" w:sz="0" w:space="0" w:color="auto"/>
        <w:bottom w:val="none" w:sz="0" w:space="0" w:color="auto"/>
        <w:right w:val="none" w:sz="0" w:space="0" w:color="auto"/>
      </w:divBdr>
    </w:div>
    <w:div w:id="666834450">
      <w:bodyDiv w:val="1"/>
      <w:marLeft w:val="0"/>
      <w:marRight w:val="0"/>
      <w:marTop w:val="0"/>
      <w:marBottom w:val="0"/>
      <w:divBdr>
        <w:top w:val="none" w:sz="0" w:space="0" w:color="auto"/>
        <w:left w:val="none" w:sz="0" w:space="0" w:color="auto"/>
        <w:bottom w:val="none" w:sz="0" w:space="0" w:color="auto"/>
        <w:right w:val="none" w:sz="0" w:space="0" w:color="auto"/>
      </w:divBdr>
    </w:div>
    <w:div w:id="1054305658">
      <w:bodyDiv w:val="1"/>
      <w:marLeft w:val="0"/>
      <w:marRight w:val="0"/>
      <w:marTop w:val="0"/>
      <w:marBottom w:val="0"/>
      <w:divBdr>
        <w:top w:val="none" w:sz="0" w:space="0" w:color="auto"/>
        <w:left w:val="none" w:sz="0" w:space="0" w:color="auto"/>
        <w:bottom w:val="none" w:sz="0" w:space="0" w:color="auto"/>
        <w:right w:val="none" w:sz="0" w:space="0" w:color="auto"/>
      </w:divBdr>
    </w:div>
    <w:div w:id="1285699858">
      <w:bodyDiv w:val="1"/>
      <w:marLeft w:val="0"/>
      <w:marRight w:val="0"/>
      <w:marTop w:val="0"/>
      <w:marBottom w:val="0"/>
      <w:divBdr>
        <w:top w:val="none" w:sz="0" w:space="0" w:color="auto"/>
        <w:left w:val="none" w:sz="0" w:space="0" w:color="auto"/>
        <w:bottom w:val="none" w:sz="0" w:space="0" w:color="auto"/>
        <w:right w:val="none" w:sz="0" w:space="0" w:color="auto"/>
      </w:divBdr>
    </w:div>
    <w:div w:id="1568150402">
      <w:bodyDiv w:val="1"/>
      <w:marLeft w:val="0"/>
      <w:marRight w:val="0"/>
      <w:marTop w:val="0"/>
      <w:marBottom w:val="0"/>
      <w:divBdr>
        <w:top w:val="none" w:sz="0" w:space="0" w:color="auto"/>
        <w:left w:val="none" w:sz="0" w:space="0" w:color="auto"/>
        <w:bottom w:val="none" w:sz="0" w:space="0" w:color="auto"/>
        <w:right w:val="none" w:sz="0" w:space="0" w:color="auto"/>
      </w:divBdr>
    </w:div>
    <w:div w:id="207299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 /><Relationship Id="rId2" Type="http://schemas.microsoft.com/office/2011/relationships/chartColorStyle" Target="colors1.xml" /><Relationship Id="rId1" Type="http://schemas.microsoft.com/office/2011/relationships/chartStyle" Target="style1.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Option</a:t>
            </a:r>
            <a:r>
              <a:rPr lang="en-US" baseline="0"/>
              <a:t> strategy on Tata Steel share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Sheet1!$E$1</c:f>
              <c:strCache>
                <c:ptCount val="1"/>
                <c:pt idx="0">
                  <c:v>Net payoff</c:v>
                </c:pt>
              </c:strCache>
            </c:strRef>
          </c:tx>
          <c:spPr>
            <a:ln w="28575" cap="rnd">
              <a:solidFill>
                <a:schemeClr val="accent1"/>
              </a:solidFill>
              <a:round/>
            </a:ln>
            <a:effectLst/>
          </c:spPr>
          <c:marker>
            <c:symbol val="none"/>
          </c:marker>
          <c:cat>
            <c:numRef>
              <c:f>Sheet1!$A$2:$A$8</c:f>
              <c:numCache>
                <c:formatCode>General</c:formatCode>
                <c:ptCount val="7"/>
                <c:pt idx="0">
                  <c:v>900</c:v>
                </c:pt>
                <c:pt idx="1">
                  <c:v>950</c:v>
                </c:pt>
                <c:pt idx="2">
                  <c:v>1000</c:v>
                </c:pt>
                <c:pt idx="3">
                  <c:v>1050</c:v>
                </c:pt>
                <c:pt idx="4">
                  <c:v>1100</c:v>
                </c:pt>
                <c:pt idx="5">
                  <c:v>1150</c:v>
                </c:pt>
                <c:pt idx="6">
                  <c:v>1200</c:v>
                </c:pt>
              </c:numCache>
            </c:numRef>
          </c:cat>
          <c:val>
            <c:numRef>
              <c:f>Sheet1!$E$2:$E$8</c:f>
              <c:numCache>
                <c:formatCode>General</c:formatCode>
                <c:ptCount val="7"/>
                <c:pt idx="0">
                  <c:v>-10</c:v>
                </c:pt>
                <c:pt idx="1">
                  <c:v>-10</c:v>
                </c:pt>
                <c:pt idx="2">
                  <c:v>-10</c:v>
                </c:pt>
                <c:pt idx="3">
                  <c:v>-10</c:v>
                </c:pt>
                <c:pt idx="4">
                  <c:v>-10</c:v>
                </c:pt>
                <c:pt idx="5">
                  <c:v>40</c:v>
                </c:pt>
                <c:pt idx="6">
                  <c:v>90</c:v>
                </c:pt>
              </c:numCache>
            </c:numRef>
          </c:val>
          <c:smooth val="0"/>
          <c:extLst>
            <c:ext xmlns:c16="http://schemas.microsoft.com/office/drawing/2014/chart" uri="{C3380CC4-5D6E-409C-BE32-E72D297353CC}">
              <c16:uniqueId val="{00000000-8C3C-41BC-9844-35540EB69CEA}"/>
            </c:ext>
          </c:extLst>
        </c:ser>
        <c:dLbls>
          <c:showLegendKey val="0"/>
          <c:showVal val="0"/>
          <c:showCatName val="0"/>
          <c:showSerName val="0"/>
          <c:showPercent val="0"/>
          <c:showBubbleSize val="0"/>
        </c:dLbls>
        <c:smooth val="0"/>
        <c:axId val="499493471"/>
        <c:axId val="499493887"/>
      </c:lineChart>
      <c:catAx>
        <c:axId val="49949347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Share price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9493887"/>
        <c:crosses val="autoZero"/>
        <c:auto val="1"/>
        <c:lblAlgn val="ctr"/>
        <c:lblOffset val="100"/>
        <c:noMultiLvlLbl val="0"/>
      </c:catAx>
      <c:valAx>
        <c:axId val="4994938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Net Payoff</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94934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7C12A20-C696-41AC-8BF3-787FDF22675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Gunavanth Mahendra</dc:creator>
  <cp:keywords/>
  <dc:description/>
  <cp:lastModifiedBy>Gunavanth Mahendra</cp:lastModifiedBy>
  <cp:revision>2</cp:revision>
  <dcterms:created xsi:type="dcterms:W3CDTF">2021-11-01T16:51:00Z</dcterms:created>
  <dcterms:modified xsi:type="dcterms:W3CDTF">2021-11-01T16:51:00Z</dcterms:modified>
</cp:coreProperties>
</file>