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629" w:rsidRPr="003F7B86" w:rsidRDefault="003A4629">
      <w:pPr>
        <w:rPr>
          <w:rFonts w:ascii="Arial" w:hAnsi="Arial" w:cs="Arial"/>
        </w:rPr>
      </w:pPr>
      <w:proofErr w:type="spellStart"/>
      <w:r w:rsidRPr="003F7B86">
        <w:rPr>
          <w:rFonts w:ascii="Arial" w:hAnsi="Arial" w:cs="Arial"/>
        </w:rPr>
        <w:t>Paraj</w:t>
      </w:r>
      <w:proofErr w:type="spellEnd"/>
      <w:r w:rsidRPr="003F7B86">
        <w:rPr>
          <w:rFonts w:ascii="Arial" w:hAnsi="Arial" w:cs="Arial"/>
        </w:rPr>
        <w:t xml:space="preserve"> Shah</w:t>
      </w:r>
    </w:p>
    <w:p w:rsidR="003A4629" w:rsidRPr="003F7B86" w:rsidRDefault="003A4629">
      <w:pPr>
        <w:rPr>
          <w:rFonts w:ascii="Arial" w:hAnsi="Arial" w:cs="Arial"/>
        </w:rPr>
      </w:pPr>
      <w:r w:rsidRPr="003F7B86">
        <w:rPr>
          <w:rFonts w:ascii="Arial" w:hAnsi="Arial" w:cs="Arial"/>
        </w:rPr>
        <w:t>Roll no: 31</w:t>
      </w:r>
    </w:p>
    <w:p w:rsidR="003A4629" w:rsidRPr="003F7B86" w:rsidRDefault="003A4629">
      <w:pPr>
        <w:rPr>
          <w:rFonts w:ascii="Arial" w:hAnsi="Arial" w:cs="Arial"/>
        </w:rPr>
      </w:pPr>
      <w:r w:rsidRPr="003F7B86">
        <w:rPr>
          <w:rFonts w:ascii="Arial" w:hAnsi="Arial" w:cs="Arial"/>
        </w:rPr>
        <w:t>Non-life insurance Assignment 1</w:t>
      </w:r>
    </w:p>
    <w:p w:rsidR="003A4629" w:rsidRPr="003F7B86" w:rsidRDefault="003A4629">
      <w:pPr>
        <w:rPr>
          <w:rFonts w:ascii="Arial" w:hAnsi="Arial" w:cs="Arial"/>
        </w:rPr>
      </w:pPr>
      <w:r w:rsidRPr="003F7B86">
        <w:rPr>
          <w:rFonts w:ascii="Arial" w:hAnsi="Arial" w:cs="Arial"/>
        </w:rPr>
        <w:t>Q1</w:t>
      </w:r>
      <w:proofErr w:type="gramStart"/>
      <w:r w:rsidRPr="003F7B86">
        <w:rPr>
          <w:rFonts w:ascii="Arial" w:hAnsi="Arial" w:cs="Arial"/>
        </w:rPr>
        <w:t>)C</w:t>
      </w:r>
      <w:proofErr w:type="gramEnd"/>
    </w:p>
    <w:p w:rsidR="003A4629" w:rsidRPr="003F7B86" w:rsidRDefault="003A4629">
      <w:pPr>
        <w:rPr>
          <w:rFonts w:ascii="Arial" w:hAnsi="Arial" w:cs="Arial"/>
        </w:rPr>
      </w:pPr>
      <w:r w:rsidRPr="003F7B86">
        <w:rPr>
          <w:rFonts w:ascii="Arial" w:hAnsi="Arial" w:cs="Arial"/>
        </w:rPr>
        <w:t>Q2</w:t>
      </w:r>
      <w:proofErr w:type="gramStart"/>
      <w:r w:rsidRPr="003F7B86">
        <w:rPr>
          <w:rFonts w:ascii="Arial" w:hAnsi="Arial" w:cs="Arial"/>
        </w:rPr>
        <w:t>)A</w:t>
      </w:r>
      <w:proofErr w:type="gramEnd"/>
    </w:p>
    <w:p w:rsidR="003A4629" w:rsidRPr="003F7B86" w:rsidRDefault="003A4629">
      <w:pPr>
        <w:rPr>
          <w:rFonts w:ascii="Arial" w:hAnsi="Arial" w:cs="Arial"/>
        </w:rPr>
      </w:pPr>
      <w:r w:rsidRPr="003F7B86">
        <w:rPr>
          <w:rFonts w:ascii="Arial" w:hAnsi="Arial" w:cs="Arial"/>
        </w:rPr>
        <w:t>Q3</w:t>
      </w:r>
      <w:proofErr w:type="gramStart"/>
      <w:r w:rsidRPr="003F7B86">
        <w:rPr>
          <w:rFonts w:ascii="Arial" w:hAnsi="Arial" w:cs="Arial"/>
        </w:rPr>
        <w:t>)A</w:t>
      </w:r>
      <w:proofErr w:type="gramEnd"/>
    </w:p>
    <w:p w:rsidR="003A4629" w:rsidRPr="003F7B86" w:rsidRDefault="003A4629">
      <w:pPr>
        <w:rPr>
          <w:rFonts w:ascii="Arial" w:hAnsi="Arial" w:cs="Arial"/>
        </w:rPr>
      </w:pPr>
      <w:r w:rsidRPr="003F7B86">
        <w:rPr>
          <w:rFonts w:ascii="Arial" w:hAnsi="Arial" w:cs="Arial"/>
        </w:rPr>
        <w:t>Q4</w:t>
      </w:r>
      <w:proofErr w:type="gramStart"/>
      <w:r w:rsidRPr="003F7B86">
        <w:rPr>
          <w:rFonts w:ascii="Arial" w:hAnsi="Arial" w:cs="Arial"/>
        </w:rPr>
        <w:t>)B</w:t>
      </w:r>
      <w:proofErr w:type="gramEnd"/>
    </w:p>
    <w:p w:rsidR="003A4629" w:rsidRPr="003F7B86" w:rsidRDefault="003A4629">
      <w:pPr>
        <w:rPr>
          <w:rFonts w:ascii="Arial" w:hAnsi="Arial" w:cs="Arial"/>
        </w:rPr>
      </w:pPr>
      <w:r w:rsidRPr="003F7B86">
        <w:rPr>
          <w:rFonts w:ascii="Arial" w:hAnsi="Arial" w:cs="Arial"/>
        </w:rPr>
        <w:t>Q5</w:t>
      </w:r>
      <w:proofErr w:type="gramStart"/>
      <w:r w:rsidRPr="003F7B86">
        <w:rPr>
          <w:rFonts w:ascii="Arial" w:hAnsi="Arial" w:cs="Arial"/>
        </w:rPr>
        <w:t>)A</w:t>
      </w:r>
      <w:proofErr w:type="gramEnd"/>
    </w:p>
    <w:p w:rsidR="003A4629" w:rsidRPr="003F7B86" w:rsidRDefault="003A4629" w:rsidP="00AC101E">
      <w:pPr>
        <w:rPr>
          <w:rFonts w:ascii="Arial" w:hAnsi="Arial" w:cs="Arial"/>
        </w:rPr>
      </w:pPr>
      <w:r w:rsidRPr="003F7B86">
        <w:rPr>
          <w:rFonts w:ascii="Arial" w:hAnsi="Arial" w:cs="Arial"/>
        </w:rPr>
        <w:t xml:space="preserve">Q6) </w:t>
      </w:r>
      <w:r w:rsidR="00AC101E" w:rsidRPr="003F7B86">
        <w:rPr>
          <w:rFonts w:ascii="Arial" w:hAnsi="Arial" w:cs="Arial"/>
        </w:rPr>
        <w:t>Reinsurance is a form of insurance purchased by insurance</w:t>
      </w:r>
      <w:r w:rsidR="002D17D7" w:rsidRPr="003F7B86">
        <w:rPr>
          <w:rFonts w:ascii="Arial" w:hAnsi="Arial" w:cs="Arial"/>
        </w:rPr>
        <w:t xml:space="preserve"> companies in order to mitigate </w:t>
      </w:r>
      <w:r w:rsidR="00AC101E" w:rsidRPr="003F7B86">
        <w:rPr>
          <w:rFonts w:ascii="Arial" w:hAnsi="Arial" w:cs="Arial"/>
        </w:rPr>
        <w:t>risk. With reinsurance, the company passes on some part of its o</w:t>
      </w:r>
      <w:r w:rsidR="002D17D7" w:rsidRPr="003F7B86">
        <w:rPr>
          <w:rFonts w:ascii="Arial" w:hAnsi="Arial" w:cs="Arial"/>
        </w:rPr>
        <w:t xml:space="preserve">wn insurance liabilities to the </w:t>
      </w:r>
      <w:r w:rsidR="00AC101E" w:rsidRPr="003F7B86">
        <w:rPr>
          <w:rFonts w:ascii="Arial" w:hAnsi="Arial" w:cs="Arial"/>
        </w:rPr>
        <w:t>other insurance company.</w:t>
      </w:r>
    </w:p>
    <w:p w:rsidR="002D17D7" w:rsidRPr="003F7B86" w:rsidRDefault="002D17D7" w:rsidP="00AC101E">
      <w:pPr>
        <w:rPr>
          <w:rFonts w:ascii="Arial" w:hAnsi="Arial" w:cs="Arial"/>
        </w:rPr>
      </w:pPr>
      <w:r w:rsidRPr="003F7B86">
        <w:rPr>
          <w:rFonts w:ascii="Arial" w:hAnsi="Arial" w:cs="Arial"/>
        </w:rPr>
        <w:t>Types of Reinsurances are:-</w:t>
      </w:r>
    </w:p>
    <w:p w:rsidR="002D17D7" w:rsidRPr="003F7B86" w:rsidRDefault="002D17D7" w:rsidP="002D17D7">
      <w:pPr>
        <w:rPr>
          <w:rFonts w:ascii="Arial" w:hAnsi="Arial" w:cs="Arial"/>
        </w:rPr>
      </w:pPr>
      <w:r w:rsidRPr="003F7B86">
        <w:rPr>
          <w:rFonts w:ascii="Arial" w:hAnsi="Arial" w:cs="Arial"/>
        </w:rPr>
        <w:t xml:space="preserve">1) Proportional </w:t>
      </w:r>
      <w:proofErr w:type="gramStart"/>
      <w:r w:rsidRPr="003F7B86">
        <w:rPr>
          <w:rFonts w:ascii="Arial" w:hAnsi="Arial" w:cs="Arial"/>
        </w:rPr>
        <w:t>Reinsurance :</w:t>
      </w:r>
      <w:proofErr w:type="gramEnd"/>
      <w:r w:rsidRPr="003F7B86">
        <w:rPr>
          <w:rFonts w:ascii="Arial" w:hAnsi="Arial" w:cs="Arial"/>
        </w:rPr>
        <w:t xml:space="preserve"> the direct writer (original insurance company) &amp; the</w:t>
      </w:r>
    </w:p>
    <w:p w:rsidR="002D17D7" w:rsidRPr="003F7B86" w:rsidRDefault="002D17D7" w:rsidP="002D17D7">
      <w:pPr>
        <w:rPr>
          <w:rFonts w:ascii="Arial" w:hAnsi="Arial" w:cs="Arial"/>
        </w:rPr>
      </w:pPr>
      <w:proofErr w:type="gramStart"/>
      <w:r w:rsidRPr="003F7B86">
        <w:rPr>
          <w:rFonts w:ascii="Arial" w:hAnsi="Arial" w:cs="Arial"/>
        </w:rPr>
        <w:t>reinsurer</w:t>
      </w:r>
      <w:proofErr w:type="gramEnd"/>
      <w:r w:rsidRPr="003F7B86">
        <w:rPr>
          <w:rFonts w:ascii="Arial" w:hAnsi="Arial" w:cs="Arial"/>
        </w:rPr>
        <w:t xml:space="preserve"> share the cost of all claims . This is of two types – </w:t>
      </w:r>
    </w:p>
    <w:p w:rsidR="002D17D7" w:rsidRPr="003F7B86" w:rsidRDefault="002D17D7" w:rsidP="002D17D7">
      <w:pPr>
        <w:rPr>
          <w:rFonts w:ascii="Arial" w:hAnsi="Arial" w:cs="Arial"/>
        </w:rPr>
      </w:pPr>
      <w:proofErr w:type="gramStart"/>
      <w:r w:rsidRPr="003F7B86">
        <w:rPr>
          <w:rFonts w:ascii="Arial" w:hAnsi="Arial" w:cs="Arial"/>
        </w:rPr>
        <w:t>A)Quota</w:t>
      </w:r>
      <w:proofErr w:type="gramEnd"/>
      <w:r w:rsidRPr="003F7B86">
        <w:rPr>
          <w:rFonts w:ascii="Arial" w:hAnsi="Arial" w:cs="Arial"/>
        </w:rPr>
        <w:t xml:space="preserve"> share reinsurance – Reinsurer and writer share all premiums and losses according to a fixed percentage. For example, Bajaj Allianz enters into a reinsurance contract with Munich Re with retained proportion of 80%. This means Bajaj Allianz pays 80% of the claim amount and gets to keep 80% of the premium </w:t>
      </w:r>
      <w:proofErr w:type="gramStart"/>
      <w:r w:rsidRPr="003F7B86">
        <w:rPr>
          <w:rFonts w:ascii="Arial" w:hAnsi="Arial" w:cs="Arial"/>
        </w:rPr>
        <w:t>received .</w:t>
      </w:r>
      <w:proofErr w:type="gramEnd"/>
      <w:r w:rsidRPr="003F7B86">
        <w:rPr>
          <w:rFonts w:ascii="Arial" w:hAnsi="Arial" w:cs="Arial"/>
        </w:rPr>
        <w:t xml:space="preserve"> Munich Re has to pay 20% of the claim amount and receives 20% of the premium. Retained Proportion denotes by </w:t>
      </w:r>
      <w:r w:rsidRPr="003F7B86">
        <w:rPr>
          <w:rFonts w:ascii="Arial" w:hAnsi="Arial" w:cs="Arial"/>
        </w:rPr>
        <w:t xml:space="preserve">. Let X be the gross claim amount, Y be the net claim amount paid by the insurer and Z be the claim amount paid by the reinsurer. Y = </w:t>
      </w:r>
      <w:r w:rsidRPr="003F7B86">
        <w:rPr>
          <w:rFonts w:ascii="Arial" w:hAnsi="Arial" w:cs="Arial"/>
        </w:rPr>
        <w:t> X</w:t>
      </w:r>
    </w:p>
    <w:p w:rsidR="002D17D7" w:rsidRPr="003F7B86" w:rsidRDefault="002D17D7" w:rsidP="002D17D7">
      <w:pPr>
        <w:rPr>
          <w:rFonts w:ascii="Arial" w:hAnsi="Arial" w:cs="Arial"/>
        </w:rPr>
      </w:pPr>
      <w:r w:rsidRPr="003F7B86">
        <w:rPr>
          <w:rFonts w:ascii="Arial" w:hAnsi="Arial" w:cs="Arial"/>
        </w:rPr>
        <w:t xml:space="preserve">Z= (1- </w:t>
      </w:r>
      <w:r w:rsidRPr="003F7B86">
        <w:rPr>
          <w:rFonts w:ascii="Arial" w:hAnsi="Arial" w:cs="Arial"/>
        </w:rPr>
        <w:t>) X</w:t>
      </w:r>
    </w:p>
    <w:p w:rsidR="002D17D7" w:rsidRPr="003F7B86" w:rsidRDefault="002D17D7" w:rsidP="002D17D7">
      <w:pPr>
        <w:rPr>
          <w:rFonts w:ascii="Arial" w:hAnsi="Arial" w:cs="Arial"/>
        </w:rPr>
      </w:pPr>
      <w:proofErr w:type="gramStart"/>
      <w:r w:rsidRPr="003F7B86">
        <w:rPr>
          <w:rFonts w:ascii="Arial" w:hAnsi="Arial" w:cs="Arial"/>
        </w:rPr>
        <w:t>B)Surplus</w:t>
      </w:r>
      <w:proofErr w:type="gramEnd"/>
      <w:r w:rsidRPr="003F7B86">
        <w:rPr>
          <w:rFonts w:ascii="Arial" w:hAnsi="Arial" w:cs="Arial"/>
        </w:rPr>
        <w:t xml:space="preserve"> share reinsurance: A surplus share treaty is a reinsurance treaty in which the ceding insurer retains a fixed amount of policy liability and the reinsurer takes responsibility for what remains. Surplus share treaties are considered pro-rata treaties and are most commonly used with property insurance. For example: HDFC Ergo forms a surplus share reinsurance contract with Swiss Re and underwrites policies with a coverage of </w:t>
      </w:r>
      <w:proofErr w:type="spellStart"/>
      <w:r w:rsidRPr="003F7B86">
        <w:rPr>
          <w:rFonts w:ascii="Arial" w:hAnsi="Arial" w:cs="Arial"/>
        </w:rPr>
        <w:t>Rs</w:t>
      </w:r>
      <w:proofErr w:type="spellEnd"/>
      <w:r w:rsidRPr="003F7B86">
        <w:rPr>
          <w:rFonts w:ascii="Arial" w:hAnsi="Arial" w:cs="Arial"/>
        </w:rPr>
        <w:t xml:space="preserve"> 50,00,000 with retention of </w:t>
      </w:r>
      <w:proofErr w:type="spellStart"/>
      <w:r w:rsidRPr="003F7B86">
        <w:rPr>
          <w:rFonts w:ascii="Arial" w:hAnsi="Arial" w:cs="Arial"/>
        </w:rPr>
        <w:t>Rs</w:t>
      </w:r>
      <w:proofErr w:type="spellEnd"/>
      <w:r w:rsidRPr="003F7B86">
        <w:rPr>
          <w:rFonts w:ascii="Arial" w:hAnsi="Arial" w:cs="Arial"/>
        </w:rPr>
        <w:t xml:space="preserve"> 20,00,000 .The remaining 30,00,000 are ceded to reinsurer.</w:t>
      </w:r>
    </w:p>
    <w:p w:rsidR="002D17D7" w:rsidRPr="003F7B86" w:rsidRDefault="002D17D7" w:rsidP="002D17D7">
      <w:pPr>
        <w:rPr>
          <w:rFonts w:ascii="Arial" w:hAnsi="Arial" w:cs="Arial"/>
        </w:rPr>
      </w:pPr>
      <w:r w:rsidRPr="003F7B86">
        <w:rPr>
          <w:rFonts w:ascii="Arial" w:hAnsi="Arial" w:cs="Arial"/>
        </w:rPr>
        <w:t xml:space="preserve">2) Non-Proportional </w:t>
      </w:r>
      <w:proofErr w:type="gramStart"/>
      <w:r w:rsidRPr="003F7B86">
        <w:rPr>
          <w:rFonts w:ascii="Arial" w:hAnsi="Arial" w:cs="Arial"/>
        </w:rPr>
        <w:t>Reinsurance :</w:t>
      </w:r>
      <w:proofErr w:type="gramEnd"/>
      <w:r w:rsidRPr="003F7B86">
        <w:rPr>
          <w:rFonts w:ascii="Arial" w:hAnsi="Arial" w:cs="Arial"/>
        </w:rPr>
        <w:t xml:space="preserve"> Under a non-proportional reinsurance arrangement, the direct writer pays a fixed premium to the reinsurer. The reinsurer will only be required to make payments where part of the claim amount falls in a particular reinsurance layer.</w:t>
      </w:r>
    </w:p>
    <w:p w:rsidR="002D17D7" w:rsidRPr="003F7B86" w:rsidRDefault="002D17D7" w:rsidP="002D17D7">
      <w:pPr>
        <w:rPr>
          <w:rFonts w:ascii="Arial" w:hAnsi="Arial" w:cs="Arial"/>
        </w:rPr>
      </w:pPr>
      <w:r w:rsidRPr="003F7B86">
        <w:rPr>
          <w:rFonts w:ascii="Arial" w:hAnsi="Arial" w:cs="Arial"/>
        </w:rPr>
        <w:t xml:space="preserve">3) Stop Loss Reinsurance : the reinsurer is liable for the insured's losses incurred over a certain period that exceed a specified amount or percentage of some business measure, such as </w:t>
      </w:r>
      <w:r w:rsidRPr="003F7B86">
        <w:rPr>
          <w:rFonts w:ascii="Arial" w:hAnsi="Arial" w:cs="Arial"/>
        </w:rPr>
        <w:lastRenderedPageBreak/>
        <w:t xml:space="preserve">earned premiums written, up to the policy limit. Under this kind of policy, the direct writer (insurance company) agrees to carry the full burden of the loss up to a limit, L and claim amount exceeding L is paid by the reinsurer. For example : </w:t>
      </w:r>
      <w:proofErr w:type="spellStart"/>
      <w:r w:rsidRPr="003F7B86">
        <w:rPr>
          <w:rFonts w:ascii="Arial" w:hAnsi="Arial" w:cs="Arial"/>
        </w:rPr>
        <w:t>Acko</w:t>
      </w:r>
      <w:proofErr w:type="spellEnd"/>
      <w:r w:rsidRPr="003F7B86">
        <w:rPr>
          <w:rFonts w:ascii="Arial" w:hAnsi="Arial" w:cs="Arial"/>
        </w:rPr>
        <w:t xml:space="preserve"> enters into a reinsurance contract with Munich Re and the contract indicates that the insurance company ,</w:t>
      </w:r>
      <w:proofErr w:type="spellStart"/>
      <w:r w:rsidRPr="003F7B86">
        <w:rPr>
          <w:rFonts w:ascii="Arial" w:hAnsi="Arial" w:cs="Arial"/>
        </w:rPr>
        <w:t>Acko</w:t>
      </w:r>
      <w:proofErr w:type="spellEnd"/>
      <w:r w:rsidRPr="003F7B86">
        <w:rPr>
          <w:rFonts w:ascii="Arial" w:hAnsi="Arial" w:cs="Arial"/>
        </w:rPr>
        <w:t xml:space="preserve"> is responsible for losses up to $500,000, but </w:t>
      </w:r>
      <w:proofErr w:type="spellStart"/>
      <w:r w:rsidRPr="003F7B86">
        <w:rPr>
          <w:rFonts w:ascii="Arial" w:hAnsi="Arial" w:cs="Arial"/>
        </w:rPr>
        <w:t>thatthe</w:t>
      </w:r>
      <w:proofErr w:type="spellEnd"/>
      <w:r w:rsidRPr="003F7B86">
        <w:rPr>
          <w:rFonts w:ascii="Arial" w:hAnsi="Arial" w:cs="Arial"/>
        </w:rPr>
        <w:t xml:space="preserve"> reinsurance company, Munich Re is responsible for anything above that limit.</w:t>
      </w:r>
    </w:p>
    <w:p w:rsidR="002D17D7" w:rsidRPr="003F7B86" w:rsidRDefault="002D17D7" w:rsidP="002D17D7">
      <w:pPr>
        <w:rPr>
          <w:rFonts w:ascii="Arial" w:hAnsi="Arial" w:cs="Arial"/>
        </w:rPr>
      </w:pPr>
      <w:r w:rsidRPr="003F7B86">
        <w:rPr>
          <w:rFonts w:ascii="Arial" w:hAnsi="Arial" w:cs="Arial"/>
        </w:rPr>
        <w:t xml:space="preserve">Y = </w:t>
      </w:r>
      <w:proofErr w:type="gramStart"/>
      <w:r w:rsidRPr="003F7B86">
        <w:rPr>
          <w:rFonts w:ascii="Arial" w:hAnsi="Arial" w:cs="Arial"/>
        </w:rPr>
        <w:t>X ;</w:t>
      </w:r>
      <w:proofErr w:type="gramEnd"/>
      <w:r w:rsidRPr="003F7B86">
        <w:rPr>
          <w:rFonts w:ascii="Arial" w:hAnsi="Arial" w:cs="Arial"/>
        </w:rPr>
        <w:t xml:space="preserve"> X &lt; L Z = X - L ; X &gt; L Y = L ;X &gt; L</w:t>
      </w:r>
    </w:p>
    <w:p w:rsidR="002D17D7" w:rsidRPr="003F7B86" w:rsidRDefault="002D17D7" w:rsidP="002D17D7">
      <w:pPr>
        <w:rPr>
          <w:rFonts w:ascii="Arial" w:hAnsi="Arial" w:cs="Arial"/>
        </w:rPr>
      </w:pPr>
      <w:r w:rsidRPr="003F7B86">
        <w:rPr>
          <w:rFonts w:ascii="Arial" w:hAnsi="Arial" w:cs="Arial"/>
        </w:rPr>
        <w:t xml:space="preserve">Q7) Stop-Loss Reinsurance (SLR) — an arrangement in which a reinsurer assumes on a per-loss basis all of the </w:t>
      </w:r>
      <w:proofErr w:type="spellStart"/>
      <w:r w:rsidRPr="003F7B86">
        <w:rPr>
          <w:rFonts w:ascii="Arial" w:hAnsi="Arial" w:cs="Arial"/>
        </w:rPr>
        <w:t>reinsured's</w:t>
      </w:r>
      <w:proofErr w:type="spellEnd"/>
      <w:r w:rsidRPr="003F7B86">
        <w:rPr>
          <w:rFonts w:ascii="Arial" w:hAnsi="Arial" w:cs="Arial"/>
        </w:rPr>
        <w:t xml:space="preserve"> loss amounts in excess of a specified amount, subject to the policy cap. This is not the same as aggregate stop-loss reinsurance.</w:t>
      </w:r>
    </w:p>
    <w:p w:rsidR="002D17D7" w:rsidRPr="003F7B86" w:rsidRDefault="002D17D7" w:rsidP="002D17D7">
      <w:pPr>
        <w:rPr>
          <w:rFonts w:ascii="Arial" w:hAnsi="Arial" w:cs="Arial"/>
        </w:rPr>
      </w:pPr>
      <w:r w:rsidRPr="003F7B86">
        <w:rPr>
          <w:rFonts w:ascii="Arial" w:hAnsi="Arial" w:cs="Arial"/>
        </w:rPr>
        <w:t>Excess of Loss Reinsurance — a form of reinsurance in which the ceding entity is indemnified for the portion of a loss that exceeds its own retention. It is commonly found in casualty lines.</w:t>
      </w:r>
    </w:p>
    <w:p w:rsidR="002D17D7" w:rsidRPr="003F7B86" w:rsidRDefault="002D17D7" w:rsidP="002D17D7">
      <w:pPr>
        <w:rPr>
          <w:rFonts w:ascii="Arial" w:hAnsi="Arial" w:cs="Arial"/>
        </w:rPr>
      </w:pPr>
      <w:r w:rsidRPr="003F7B86">
        <w:rPr>
          <w:rFonts w:ascii="Arial" w:hAnsi="Arial" w:cs="Arial"/>
        </w:rPr>
        <w:t xml:space="preserve">Q8) </w:t>
      </w:r>
      <w:r w:rsidR="003F7B86" w:rsidRPr="003F7B86">
        <w:rPr>
          <w:rFonts w:ascii="Arial" w:hAnsi="Arial" w:cs="Arial"/>
        </w:rPr>
        <w:t xml:space="preserve">1) </w:t>
      </w:r>
      <w:r w:rsidRPr="003F7B86">
        <w:rPr>
          <w:rFonts w:ascii="Arial" w:hAnsi="Arial" w:cs="Arial"/>
        </w:rPr>
        <w:t>Net Loss Ratio</w:t>
      </w:r>
      <w:proofErr w:type="gramStart"/>
      <w:r w:rsidRPr="003F7B86">
        <w:rPr>
          <w:rFonts w:ascii="Arial" w:hAnsi="Arial" w:cs="Arial"/>
        </w:rPr>
        <w:t>:-</w:t>
      </w:r>
      <w:proofErr w:type="gramEnd"/>
      <w:r w:rsidRPr="003F7B86">
        <w:rPr>
          <w:rFonts w:ascii="Arial" w:hAnsi="Arial" w:cs="Arial"/>
        </w:rPr>
        <w:t xml:space="preserve"> represents the </w:t>
      </w:r>
      <w:r w:rsidR="003F7B86" w:rsidRPr="003F7B86">
        <w:rPr>
          <w:rFonts w:ascii="Arial" w:hAnsi="Arial" w:cs="Arial"/>
        </w:rPr>
        <w:t>ratio of losses to premiums earned.</w:t>
      </w:r>
    </w:p>
    <w:p w:rsidR="003F7B86" w:rsidRPr="003F7B86" w:rsidRDefault="003F7B86" w:rsidP="002D17D7">
      <w:pPr>
        <w:rPr>
          <w:rFonts w:ascii="Arial" w:eastAsiaTheme="minorEastAsia" w:hAnsi="Arial" w:cs="Arial"/>
        </w:rPr>
      </w:pPr>
      <m:oMathPara>
        <m:oMath>
          <m:r>
            <w:rPr>
              <w:rFonts w:ascii="Cambria Math" w:hAnsi="Cambria Math" w:cs="Arial"/>
            </w:rPr>
            <m:t>Net Loss Ratio=</m:t>
          </m:r>
          <m:f>
            <m:fPr>
              <m:ctrlPr>
                <w:rPr>
                  <w:rFonts w:ascii="Cambria Math" w:hAnsi="Cambria Math" w:cs="Arial"/>
                  <w:i/>
                </w:rPr>
              </m:ctrlPr>
            </m:fPr>
            <m:num>
              <m:r>
                <w:rPr>
                  <w:rFonts w:ascii="Cambria Math" w:hAnsi="Cambria Math" w:cs="Arial"/>
                </w:rPr>
                <m:t>Net claims Inccured</m:t>
              </m:r>
            </m:num>
            <m:den>
              <m:r>
                <w:rPr>
                  <w:rFonts w:ascii="Cambria Math" w:hAnsi="Cambria Math" w:cs="Arial"/>
                </w:rPr>
                <m:t>Net Earned Premium</m:t>
              </m:r>
            </m:den>
          </m:f>
        </m:oMath>
      </m:oMathPara>
    </w:p>
    <w:p w:rsidR="003F7B86" w:rsidRPr="003F7B86" w:rsidRDefault="003F7B86" w:rsidP="002D17D7">
      <w:pPr>
        <w:rPr>
          <w:rFonts w:ascii="Arial" w:eastAsiaTheme="minorEastAsia" w:hAnsi="Arial" w:cs="Arial"/>
        </w:rPr>
      </w:pPr>
      <w:r w:rsidRPr="003F7B86">
        <w:rPr>
          <w:rFonts w:ascii="Arial" w:eastAsiaTheme="minorEastAsia" w:hAnsi="Arial" w:cs="Arial"/>
        </w:rPr>
        <w:t>2) Net Expense Ratio</w:t>
      </w:r>
      <w:proofErr w:type="gramStart"/>
      <w:r w:rsidRPr="003F7B86">
        <w:rPr>
          <w:rFonts w:ascii="Arial" w:eastAsiaTheme="minorEastAsia" w:hAnsi="Arial" w:cs="Arial"/>
        </w:rPr>
        <w:t>:-</w:t>
      </w:r>
      <w:proofErr w:type="gramEnd"/>
      <w:r w:rsidRPr="003F7B86">
        <w:rPr>
          <w:rFonts w:ascii="Arial" w:eastAsiaTheme="minorEastAsia" w:hAnsi="Arial" w:cs="Arial"/>
        </w:rPr>
        <w:t xml:space="preserve"> is a measure of profitability. It includes the expenses that are advertising, employee wages.</w:t>
      </w:r>
    </w:p>
    <w:p w:rsidR="003F7B86" w:rsidRPr="003F7B86" w:rsidRDefault="003F7B86" w:rsidP="002D17D7">
      <w:pPr>
        <w:rPr>
          <w:rFonts w:ascii="Arial" w:eastAsiaTheme="minorEastAsia" w:hAnsi="Arial" w:cs="Arial"/>
        </w:rPr>
      </w:pPr>
      <m:oMathPara>
        <m:oMath>
          <m:r>
            <w:rPr>
              <w:rFonts w:ascii="Cambria Math" w:hAnsi="Cambria Math" w:cs="Arial"/>
            </w:rPr>
            <m:t>Net Expense ratio=</m:t>
          </m:r>
          <m:f>
            <m:fPr>
              <m:ctrlPr>
                <w:rPr>
                  <w:rFonts w:ascii="Cambria Math" w:hAnsi="Cambria Math" w:cs="Arial"/>
                  <w:i/>
                </w:rPr>
              </m:ctrlPr>
            </m:fPr>
            <m:num>
              <m:r>
                <w:rPr>
                  <w:rFonts w:ascii="Cambria Math" w:hAnsi="Cambria Math" w:cs="Arial"/>
                </w:rPr>
                <m:t xml:space="preserve">Expenses </m:t>
              </m:r>
            </m:num>
            <m:den>
              <m:r>
                <w:rPr>
                  <w:rFonts w:ascii="Cambria Math" w:hAnsi="Cambria Math" w:cs="Arial"/>
                </w:rPr>
                <m:t xml:space="preserve">Net Written Premium </m:t>
              </m:r>
            </m:den>
          </m:f>
        </m:oMath>
      </m:oMathPara>
    </w:p>
    <w:p w:rsidR="003F7B86" w:rsidRPr="003F7B86" w:rsidRDefault="003F7B86" w:rsidP="002D17D7">
      <w:pPr>
        <w:rPr>
          <w:rFonts w:ascii="Arial" w:hAnsi="Arial" w:cs="Arial"/>
          <w:color w:val="202124"/>
          <w:shd w:val="clear" w:color="auto" w:fill="FFFFFF"/>
        </w:rPr>
      </w:pPr>
      <w:r w:rsidRPr="003F7B86">
        <w:rPr>
          <w:rFonts w:ascii="Arial" w:eastAsiaTheme="minorEastAsia" w:hAnsi="Arial" w:cs="Arial"/>
        </w:rPr>
        <w:t>3) Net Commission Ratio</w:t>
      </w:r>
      <w:proofErr w:type="gramStart"/>
      <w:r w:rsidRPr="003F7B86">
        <w:rPr>
          <w:rFonts w:ascii="Arial" w:eastAsiaTheme="minorEastAsia" w:hAnsi="Arial" w:cs="Arial"/>
        </w:rPr>
        <w:t>:-</w:t>
      </w:r>
      <w:proofErr w:type="gramEnd"/>
      <w:r w:rsidRPr="003F7B86">
        <w:rPr>
          <w:rFonts w:ascii="Arial" w:hAnsi="Arial" w:cs="Arial"/>
          <w:b/>
          <w:bCs/>
          <w:color w:val="202124"/>
          <w:shd w:val="clear" w:color="auto" w:fill="FFFFFF"/>
        </w:rPr>
        <w:t xml:space="preserve">  </w:t>
      </w:r>
      <w:r w:rsidRPr="003F7B86">
        <w:rPr>
          <w:rFonts w:ascii="Arial" w:hAnsi="Arial" w:cs="Arial"/>
          <w:bCs/>
          <w:color w:val="202124"/>
          <w:shd w:val="clear" w:color="auto" w:fill="FFFFFF"/>
        </w:rPr>
        <w:t>Percentage</w:t>
      </w:r>
      <w:r w:rsidRPr="003F7B86">
        <w:rPr>
          <w:rFonts w:ascii="Arial" w:hAnsi="Arial" w:cs="Arial"/>
          <w:color w:val="202124"/>
          <w:shd w:val="clear" w:color="auto" w:fill="FFFFFF"/>
        </w:rPr>
        <w:t> of premium paid to the </w:t>
      </w:r>
      <w:r w:rsidRPr="003F7B86">
        <w:rPr>
          <w:rFonts w:ascii="Arial" w:hAnsi="Arial" w:cs="Arial"/>
          <w:bCs/>
          <w:color w:val="202124"/>
          <w:shd w:val="clear" w:color="auto" w:fill="FFFFFF"/>
        </w:rPr>
        <w:t>reinsurance</w:t>
      </w:r>
      <w:r w:rsidRPr="003F7B86">
        <w:rPr>
          <w:rFonts w:ascii="Arial" w:hAnsi="Arial" w:cs="Arial"/>
          <w:color w:val="202124"/>
          <w:shd w:val="clear" w:color="auto" w:fill="FFFFFF"/>
        </w:rPr>
        <w:t> intermediary; a ceding company expense. Compare to ceding </w:t>
      </w:r>
      <w:r w:rsidRPr="003F7B86">
        <w:rPr>
          <w:rFonts w:ascii="Arial" w:hAnsi="Arial" w:cs="Arial"/>
          <w:bCs/>
          <w:color w:val="202124"/>
          <w:shd w:val="clear" w:color="auto" w:fill="FFFFFF"/>
        </w:rPr>
        <w:t>commissions</w:t>
      </w:r>
      <w:r w:rsidRPr="003F7B86">
        <w:rPr>
          <w:rFonts w:ascii="Arial" w:hAnsi="Arial" w:cs="Arial"/>
          <w:color w:val="202124"/>
          <w:shd w:val="clear" w:color="auto" w:fill="FFFFFF"/>
        </w:rPr>
        <w:t>, which are an expense to the assuming </w:t>
      </w:r>
      <w:r w:rsidRPr="003F7B86">
        <w:rPr>
          <w:rFonts w:ascii="Arial" w:hAnsi="Arial" w:cs="Arial"/>
          <w:bCs/>
          <w:color w:val="202124"/>
          <w:shd w:val="clear" w:color="auto" w:fill="FFFFFF"/>
        </w:rPr>
        <w:t>reinsurer</w:t>
      </w:r>
      <w:r w:rsidRPr="003F7B86">
        <w:rPr>
          <w:rFonts w:ascii="Arial" w:hAnsi="Arial" w:cs="Arial"/>
          <w:color w:val="202124"/>
          <w:shd w:val="clear" w:color="auto" w:fill="FFFFFF"/>
        </w:rPr>
        <w:t>.</w:t>
      </w:r>
    </w:p>
    <w:p w:rsidR="003F7B86" w:rsidRPr="003F7B86" w:rsidRDefault="003F7B86" w:rsidP="002D17D7">
      <w:pPr>
        <w:rPr>
          <w:rFonts w:ascii="Arial" w:eastAsiaTheme="minorEastAsia" w:hAnsi="Arial" w:cs="Arial"/>
        </w:rPr>
      </w:pPr>
      <m:oMathPara>
        <m:oMath>
          <m:r>
            <w:rPr>
              <w:rFonts w:ascii="Cambria Math" w:hAnsi="Cambria Math" w:cs="Arial"/>
            </w:rPr>
            <m:t>Net Commission Ratio=</m:t>
          </m:r>
          <m:f>
            <m:fPr>
              <m:ctrlPr>
                <w:rPr>
                  <w:rFonts w:ascii="Cambria Math" w:hAnsi="Cambria Math" w:cs="Arial"/>
                  <w:i/>
                </w:rPr>
              </m:ctrlPr>
            </m:fPr>
            <m:num>
              <m:r>
                <w:rPr>
                  <w:rFonts w:ascii="Cambria Math" w:hAnsi="Cambria Math" w:cs="Arial"/>
                </w:rPr>
                <m:t>Commission</m:t>
              </m:r>
            </m:num>
            <m:den>
              <m:r>
                <w:rPr>
                  <w:rFonts w:ascii="Cambria Math" w:hAnsi="Cambria Math" w:cs="Arial"/>
                </w:rPr>
                <m:t xml:space="preserve">Net  Written Premium </m:t>
              </m:r>
            </m:den>
          </m:f>
        </m:oMath>
      </m:oMathPara>
    </w:p>
    <w:p w:rsidR="003F7B86" w:rsidRDefault="003F7B86" w:rsidP="002D17D7">
      <w:pPr>
        <w:rPr>
          <w:rFonts w:ascii="Arial" w:hAnsi="Arial" w:cs="Arial"/>
          <w:color w:val="111111"/>
          <w:shd w:val="clear" w:color="auto" w:fill="FFFFFF"/>
        </w:rPr>
      </w:pPr>
      <w:r w:rsidRPr="003F7B86">
        <w:rPr>
          <w:rFonts w:ascii="Arial" w:eastAsiaTheme="minorEastAsia" w:hAnsi="Arial" w:cs="Arial"/>
        </w:rPr>
        <w:t>4) Net Combined Ratio</w:t>
      </w:r>
      <w:proofErr w:type="gramStart"/>
      <w:r w:rsidRPr="003F7B86">
        <w:rPr>
          <w:rFonts w:ascii="Arial" w:eastAsiaTheme="minorEastAsia" w:hAnsi="Arial" w:cs="Arial"/>
        </w:rPr>
        <w:t>:-</w:t>
      </w:r>
      <w:proofErr w:type="gramEnd"/>
      <w:r w:rsidRPr="003F7B86">
        <w:rPr>
          <w:rFonts w:ascii="Arial" w:hAnsi="Arial" w:cs="Arial"/>
          <w:color w:val="111111"/>
          <w:shd w:val="clear" w:color="auto" w:fill="FFFFFF"/>
        </w:rPr>
        <w:t xml:space="preserve"> is a measure of profitability used by an insurance company to gauge how well it is performing in its daily operations. The combined ratio is calculated by taking the sum of incurred losses and expenses</w:t>
      </w:r>
    </w:p>
    <w:p w:rsidR="003F7B86" w:rsidRPr="003F7B86" w:rsidRDefault="003F7B86" w:rsidP="002D17D7">
      <w:pPr>
        <w:rPr>
          <w:rFonts w:ascii="Arial" w:eastAsiaTheme="minorEastAsia" w:hAnsi="Arial" w:cs="Arial"/>
        </w:rPr>
      </w:pPr>
      <m:oMathPara>
        <m:oMath>
          <m:r>
            <w:rPr>
              <w:rFonts w:ascii="Cambria Math" w:hAnsi="Cambria Math" w:cs="Arial"/>
            </w:rPr>
            <m:t>Net Combined Ratio=The sum of Loss Ratio,Expense Ratio and Comission Ratio</m:t>
          </m:r>
        </m:oMath>
      </m:oMathPara>
    </w:p>
    <w:p w:rsidR="003F7B86" w:rsidRDefault="006D2A41" w:rsidP="002D17D7">
      <w:pPr>
        <w:rPr>
          <w:rFonts w:ascii="Arial" w:eastAsiaTheme="minorEastAsia" w:hAnsi="Arial" w:cs="Arial"/>
        </w:rPr>
      </w:pPr>
      <w:r>
        <w:rPr>
          <w:rFonts w:ascii="Arial" w:eastAsiaTheme="minorEastAsia" w:hAnsi="Arial" w:cs="Arial"/>
        </w:rPr>
        <w:t>Q9</w:t>
      </w:r>
      <w:r w:rsidR="006F3B98">
        <w:rPr>
          <w:rFonts w:ascii="Arial" w:eastAsiaTheme="minorEastAsia" w:hAnsi="Arial" w:cs="Arial"/>
        </w:rPr>
        <w:t xml:space="preserve">) </w:t>
      </w:r>
      <w:proofErr w:type="gramStart"/>
      <w:r w:rsidRPr="006D2A41">
        <w:rPr>
          <w:rFonts w:ascii="Arial" w:eastAsiaTheme="minorEastAsia" w:hAnsi="Arial" w:cs="Arial"/>
        </w:rPr>
        <w:t>The</w:t>
      </w:r>
      <w:proofErr w:type="gramEnd"/>
      <w:r w:rsidRPr="006D2A41">
        <w:rPr>
          <w:rFonts w:ascii="Arial" w:eastAsiaTheme="minorEastAsia" w:hAnsi="Arial" w:cs="Arial"/>
        </w:rPr>
        <w:t xml:space="preserve"> history of general insurance dates back to the Industrial Revolution in the west and the consequent growth of sea-faring trade and commerce in the 17th century. It came to India as a legacy of British occupation. General insurance in India has its origins in the British establishment of Triton Insurance Company Ltd. in Calcutta in 1850. The Indian Mercantile Insurance Ltd was established in 1907. This was the first firm to deal with all types of general insurance. The General Insurance Council, a branch of the Insurance Association of India, was founded in 1957. The General Insurance Council developed a code of ethics to ensure ethical </w:t>
      </w:r>
      <w:proofErr w:type="spellStart"/>
      <w:r w:rsidRPr="006D2A41">
        <w:rPr>
          <w:rFonts w:ascii="Arial" w:eastAsiaTheme="minorEastAsia" w:hAnsi="Arial" w:cs="Arial"/>
        </w:rPr>
        <w:t>behaviour</w:t>
      </w:r>
      <w:proofErr w:type="spellEnd"/>
      <w:r w:rsidRPr="006D2A41">
        <w:rPr>
          <w:rFonts w:ascii="Arial" w:eastAsiaTheme="minorEastAsia" w:hAnsi="Arial" w:cs="Arial"/>
        </w:rPr>
        <w:t xml:space="preserve"> and good business </w:t>
      </w:r>
      <w:proofErr w:type="spellStart"/>
      <w:r w:rsidRPr="006D2A41">
        <w:rPr>
          <w:rFonts w:ascii="Arial" w:eastAsiaTheme="minorEastAsia" w:hAnsi="Arial" w:cs="Arial"/>
        </w:rPr>
        <w:t>practises</w:t>
      </w:r>
      <w:proofErr w:type="spellEnd"/>
      <w:r w:rsidRPr="006D2A41">
        <w:rPr>
          <w:rFonts w:ascii="Arial" w:eastAsiaTheme="minorEastAsia" w:hAnsi="Arial" w:cs="Arial"/>
        </w:rPr>
        <w:t>.</w:t>
      </w:r>
    </w:p>
    <w:p w:rsidR="006D2A41" w:rsidRPr="003F7B86" w:rsidRDefault="006D2A41" w:rsidP="006D2A41">
      <w:pPr>
        <w:rPr>
          <w:rFonts w:ascii="Arial" w:eastAsiaTheme="minorEastAsia" w:hAnsi="Arial" w:cs="Arial"/>
        </w:rPr>
      </w:pPr>
      <w:r>
        <w:rPr>
          <w:rFonts w:ascii="Arial" w:eastAsiaTheme="minorEastAsia" w:hAnsi="Arial" w:cs="Arial"/>
        </w:rPr>
        <w:lastRenderedPageBreak/>
        <w:t>Q10)</w:t>
      </w:r>
      <m:oMath>
        <m:r>
          <w:rPr>
            <w:rFonts w:ascii="Cambria Math" w:hAnsi="Cambria Math" w:cs="Arial"/>
          </w:rPr>
          <w:br/>
        </m:r>
      </m:oMath>
      <m:oMathPara>
        <m:oMath>
          <m:r>
            <w:rPr>
              <w:rFonts w:ascii="Cambria Math" w:hAnsi="Cambria Math" w:cs="Arial"/>
            </w:rPr>
            <m:t>Net Combined Ratio=The sum of Loss Ratio,Expense Ratio and Comission Ratio</m:t>
          </m:r>
        </m:oMath>
      </m:oMathPara>
    </w:p>
    <w:p w:rsidR="006D2A41" w:rsidRPr="003F7B86" w:rsidRDefault="006D2A41" w:rsidP="002D17D7">
      <w:pPr>
        <w:rPr>
          <w:rFonts w:ascii="Arial" w:eastAsiaTheme="minorEastAsia" w:hAnsi="Arial" w:cs="Arial"/>
        </w:rPr>
      </w:pPr>
      <w:r>
        <w:rPr>
          <w:rFonts w:ascii="Arial" w:eastAsiaTheme="minorEastAsia" w:hAnsi="Arial" w:cs="Arial"/>
        </w:rPr>
        <w:t>(8500+5700+150000)/50000=</w:t>
      </w:r>
      <w:r w:rsidRPr="006D2A41">
        <w:rPr>
          <w:rFonts w:ascii="Arial" w:eastAsiaTheme="minorEastAsia" w:hAnsi="Arial" w:cs="Arial"/>
          <w:b/>
          <w:highlight w:val="yellow"/>
        </w:rPr>
        <w:t>3.284</w:t>
      </w:r>
    </w:p>
    <w:p w:rsidR="002D17D7" w:rsidRPr="003F7B86" w:rsidRDefault="002D17D7" w:rsidP="002D17D7">
      <w:pPr>
        <w:rPr>
          <w:rFonts w:ascii="Arial" w:hAnsi="Arial" w:cs="Arial"/>
        </w:rPr>
      </w:pPr>
      <w:bookmarkStart w:id="0" w:name="_GoBack"/>
      <w:bookmarkEnd w:id="0"/>
    </w:p>
    <w:sectPr w:rsidR="002D17D7" w:rsidRPr="003F7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29"/>
    <w:rsid w:val="002D17D7"/>
    <w:rsid w:val="003A4629"/>
    <w:rsid w:val="003F7B86"/>
    <w:rsid w:val="006D2A41"/>
    <w:rsid w:val="006F0704"/>
    <w:rsid w:val="006F3B98"/>
    <w:rsid w:val="00AC1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03E4"/>
  <w15:chartTrackingRefBased/>
  <w15:docId w15:val="{C45A64C9-045C-4AAB-9312-9B90CF1C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B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2845</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2021-04-19T05:51:00Z</dcterms:created>
  <dcterms:modified xsi:type="dcterms:W3CDTF">2021-04-21T05:16:00Z</dcterms:modified>
</cp:coreProperties>
</file>