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D837" w14:textId="33A77CF6" w:rsidR="00935DA8" w:rsidRDefault="00D32460" w:rsidP="00D32460">
      <w:pPr>
        <w:jc w:val="center"/>
      </w:pPr>
      <w:r>
        <w:t>UNIT- 1</w:t>
      </w:r>
    </w:p>
    <w:p w14:paraId="3B71C860" w14:textId="24F520DA" w:rsidR="00D32460" w:rsidRDefault="00D32460" w:rsidP="00D32460">
      <w:pPr>
        <w:jc w:val="center"/>
      </w:pPr>
      <w:r>
        <w:t>Simran Ramaswamy Sharma</w:t>
      </w:r>
    </w:p>
    <w:p w14:paraId="63AF03DB" w14:textId="032B32FA" w:rsidR="006E32D2" w:rsidRDefault="006E32D2" w:rsidP="006E32D2">
      <w:pPr>
        <w:pStyle w:val="ListParagraph"/>
        <w:numPr>
          <w:ilvl w:val="0"/>
          <w:numId w:val="3"/>
        </w:numPr>
      </w:pPr>
      <w:r>
        <w:t>_____</w:t>
      </w:r>
    </w:p>
    <w:p w14:paraId="2B4F4C21" w14:textId="4198791D" w:rsidR="006E32D2" w:rsidRDefault="006E32D2" w:rsidP="006E32D2">
      <w:pPr>
        <w:pStyle w:val="ListParagraph"/>
        <w:numPr>
          <w:ilvl w:val="0"/>
          <w:numId w:val="3"/>
        </w:numPr>
      </w:pPr>
      <w:r>
        <w:t>_____</w:t>
      </w:r>
    </w:p>
    <w:p w14:paraId="116B2761" w14:textId="1C0787CD" w:rsidR="006E32D2" w:rsidRDefault="006E32D2" w:rsidP="006E32D2">
      <w:pPr>
        <w:pStyle w:val="ListParagraph"/>
        <w:numPr>
          <w:ilvl w:val="0"/>
          <w:numId w:val="3"/>
        </w:numPr>
      </w:pPr>
      <w:r>
        <w:t>_____</w:t>
      </w:r>
    </w:p>
    <w:p w14:paraId="67F18E8C" w14:textId="662DA439" w:rsidR="006E32D2" w:rsidRDefault="006E32D2" w:rsidP="006E32D2">
      <w:pPr>
        <w:pStyle w:val="ListParagraph"/>
        <w:numPr>
          <w:ilvl w:val="0"/>
          <w:numId w:val="3"/>
        </w:numPr>
      </w:pPr>
      <w:r>
        <w:t>C</w:t>
      </w:r>
    </w:p>
    <w:p w14:paraId="00021639" w14:textId="0D3FDB81" w:rsidR="006E32D2" w:rsidRDefault="006E32D2" w:rsidP="006E32D2">
      <w:pPr>
        <w:pStyle w:val="ListParagraph"/>
        <w:numPr>
          <w:ilvl w:val="0"/>
          <w:numId w:val="3"/>
        </w:numPr>
      </w:pPr>
      <w:r>
        <w:t>A</w:t>
      </w:r>
    </w:p>
    <w:p w14:paraId="65D4947D" w14:textId="7BEFE355" w:rsidR="006E32D2" w:rsidRDefault="006E32D2" w:rsidP="006E32D2">
      <w:pPr>
        <w:pStyle w:val="ListParagraph"/>
        <w:numPr>
          <w:ilvl w:val="0"/>
          <w:numId w:val="3"/>
        </w:numPr>
      </w:pPr>
      <w:r>
        <w:t>B</w:t>
      </w:r>
    </w:p>
    <w:p w14:paraId="3CF14098" w14:textId="7749C5D7" w:rsidR="006E32D2" w:rsidRDefault="006E32D2" w:rsidP="006E32D2">
      <w:pPr>
        <w:pStyle w:val="ListParagraph"/>
        <w:numPr>
          <w:ilvl w:val="0"/>
          <w:numId w:val="3"/>
        </w:numPr>
      </w:pPr>
      <w:r>
        <w:t>B</w:t>
      </w:r>
    </w:p>
    <w:p w14:paraId="6437CDA7" w14:textId="6E28CC6E" w:rsidR="006E32D2" w:rsidRDefault="006E32D2" w:rsidP="006E32D2">
      <w:pPr>
        <w:pStyle w:val="ListParagraph"/>
        <w:numPr>
          <w:ilvl w:val="0"/>
          <w:numId w:val="3"/>
        </w:numPr>
      </w:pPr>
      <w:r>
        <w:t>D</w:t>
      </w:r>
    </w:p>
    <w:p w14:paraId="2E3777CC" w14:textId="3AA05C87" w:rsidR="006E32D2" w:rsidRDefault="006E32D2" w:rsidP="006E32D2">
      <w:pPr>
        <w:pStyle w:val="ListParagraph"/>
        <w:numPr>
          <w:ilvl w:val="0"/>
          <w:numId w:val="3"/>
        </w:numPr>
      </w:pPr>
      <w:r>
        <w:t>The ability to bear risk is measured mainly in terms of objective factors, such as time horizon, expected income, and the level of wealth relative to liabilities. For example, an investor with a 20-year time horizon can be considered to have a greater ability to bear risk, other things being equal, than an investor with a 2-year horizon. This difference is because over 20 years there is more scope for losses to be recovered or other adjustments to circumstances to be made than there is over two years. Similarly, an investor whose assets are comfortably in excess of their liabilities has more ability to bear risk than an investor whose wealth and expected future expenditure are more closely balanced. For example, a wealthy individual who can sustain a comfortable lifestyle after a very substantial investment loss has a relatively high ability to bear risk. A pension plan that has a large surplus of assets over liabilities has a relatively high ability to bear risk.</w:t>
      </w:r>
    </w:p>
    <w:p w14:paraId="768605DD" w14:textId="0B02E290" w:rsidR="00280E3D" w:rsidRDefault="006E32D2" w:rsidP="00280E3D">
      <w:pPr>
        <w:pStyle w:val="ListParagraph"/>
        <w:numPr>
          <w:ilvl w:val="0"/>
          <w:numId w:val="3"/>
        </w:numPr>
      </w:pPr>
      <w:r>
        <w:t>The willingness to take risk, or risk attitude, is a more subjective factor based on the client’s psychology and perhaps also his or her current circumstances. Although the list of factors that are related to an individual’s risk attitude remains open to debate, it is believed that some psychological factors, such as personality type, self-esteem, and inclination to independent thinking, are correlated with risk attitude. Some individuals are comfortable taking financial and investment risk, whereas others find it distressing. Although there is no single agreed-upon method for measuring risk tolerance, a willingness to take risk may be gauged by discussing risk with the client or by asking the client to complete a psychometric questionnaire.</w:t>
      </w:r>
    </w:p>
    <w:p w14:paraId="7D1D0EEF" w14:textId="77777777" w:rsidR="00280E3D" w:rsidRDefault="00280E3D" w:rsidP="00280E3D">
      <w:pPr>
        <w:pStyle w:val="ListParagraph"/>
        <w:numPr>
          <w:ilvl w:val="0"/>
          <w:numId w:val="3"/>
        </w:numPr>
      </w:pPr>
      <w:r>
        <w:t>Introduction: This section describes the client</w:t>
      </w:r>
    </w:p>
    <w:p w14:paraId="6FC2A183" w14:textId="77777777" w:rsidR="00280E3D" w:rsidRDefault="00280E3D" w:rsidP="00280E3D">
      <w:pPr>
        <w:pStyle w:val="ListParagraph"/>
      </w:pPr>
      <w:r>
        <w:t>Statement of Purpose: This section states the purpose of the IPS</w:t>
      </w:r>
    </w:p>
    <w:p w14:paraId="2D8D6682" w14:textId="77777777" w:rsidR="00280E3D" w:rsidRDefault="00280E3D" w:rsidP="00280E3D">
      <w:pPr>
        <w:pStyle w:val="ListParagraph"/>
      </w:pPr>
      <w:r>
        <w:t xml:space="preserve">Statement of Duties and Responsibilities: This section details the duties and responsibilities of the client, the custodian of the client’s assets, and the investment managers </w:t>
      </w:r>
    </w:p>
    <w:p w14:paraId="7665A80F" w14:textId="77777777" w:rsidR="00280E3D" w:rsidRDefault="00280E3D" w:rsidP="00280E3D">
      <w:pPr>
        <w:pStyle w:val="ListParagraph"/>
      </w:pPr>
      <w:r>
        <w:t>Procedures: This section explains the steps to take to keep the IPS current and the procedures to follow to respond to various contingencies</w:t>
      </w:r>
    </w:p>
    <w:p w14:paraId="3B1261E8" w14:textId="77777777" w:rsidR="00280E3D" w:rsidRDefault="00280E3D" w:rsidP="00280E3D">
      <w:pPr>
        <w:pStyle w:val="ListParagraph"/>
      </w:pPr>
      <w:r>
        <w:t>Investment Objectives: This section explains the client</w:t>
      </w:r>
      <w:r w:rsidRPr="00280E3D">
        <w:rPr>
          <w:rFonts w:ascii="Calibri" w:hAnsi="Calibri" w:cs="Calibri"/>
        </w:rPr>
        <w:t>’</w:t>
      </w:r>
      <w:r>
        <w:t>s objectives in investing</w:t>
      </w:r>
    </w:p>
    <w:p w14:paraId="78434F0C" w14:textId="77777777" w:rsidR="00280E3D" w:rsidRDefault="00280E3D" w:rsidP="00280E3D">
      <w:pPr>
        <w:pStyle w:val="ListParagraph"/>
      </w:pPr>
      <w:r>
        <w:t>Investment Constraints: This section presents the factors that constrain the client in seeking to achieve the investment objectives</w:t>
      </w:r>
    </w:p>
    <w:p w14:paraId="4A2E5AD7" w14:textId="77777777" w:rsidR="00280E3D" w:rsidRDefault="00280E3D" w:rsidP="00280E3D">
      <w:pPr>
        <w:pStyle w:val="ListParagraph"/>
      </w:pPr>
      <w:r>
        <w:t>Investment Guidelines: This section provides information about how policy should be executed (e.g., on the permissible use of leverage and derivatives) and on specific types of assets excluded from investment, if any</w:t>
      </w:r>
    </w:p>
    <w:p w14:paraId="68E5B9BB" w14:textId="77777777" w:rsidR="00280E3D" w:rsidRDefault="00280E3D" w:rsidP="00280E3D">
      <w:pPr>
        <w:pStyle w:val="ListParagraph"/>
      </w:pPr>
      <w:r>
        <w:t xml:space="preserve">Evaluation and Review. This section provides guidance on obtaining feedback on investment results. </w:t>
      </w:r>
    </w:p>
    <w:p w14:paraId="17C042F0" w14:textId="5F30AAC8" w:rsidR="00280E3D" w:rsidRDefault="00280E3D" w:rsidP="00280E3D">
      <w:pPr>
        <w:pStyle w:val="ListParagraph"/>
      </w:pPr>
      <w:r>
        <w:t xml:space="preserve">Appendices: (A) Strategic Asset Allocation (B) Rebalancing Policy. Many investors specify a strategic asset allocation (SAA), also known as the policy portfolio, which is the baseline allocation of portfolio assets to asset classes in view of the investor’s investment objectives </w:t>
      </w:r>
      <w:r>
        <w:lastRenderedPageBreak/>
        <w:t>and the investor’s policy with respect to rebalancing asset class weights. This SAA may include a statement of policy concerning hedging risks such as currency risk and interest rate risk.</w:t>
      </w:r>
    </w:p>
    <w:p w14:paraId="3610FC3E" w14:textId="6914AE7E" w:rsidR="00280E3D" w:rsidRDefault="00280E3D" w:rsidP="00280E3D">
      <w:pPr>
        <w:pStyle w:val="ListParagraph"/>
        <w:numPr>
          <w:ilvl w:val="0"/>
          <w:numId w:val="3"/>
        </w:numPr>
      </w:pPr>
      <w:r>
        <w:t>LIQUIDITY REQUIREMENT:</w:t>
      </w:r>
    </w:p>
    <w:p w14:paraId="08E54C86" w14:textId="69DD1F0E" w:rsidR="00280E3D" w:rsidRDefault="00280E3D" w:rsidP="00280E3D">
      <w:pPr>
        <w:pStyle w:val="ListParagraph"/>
      </w:pPr>
      <w:r>
        <w:t>The IPS should state what the likely requirements are to withdraw funds from the portfolio. Examples for an individual investor would be outlays for covering healthcare payments or tuition fees. For institutions, it could be spending rules and requirements for endowment funds, the existence of claims coming due in the case of property and casualty insurance, or benefit payments for pension funds and life insurance companies. When the client does have such a requirement, the manager should allocate part of the portfolio to cover the liability. This part of the portfolio will be invested in assets that are liquid, I.E., easily converted to cash—and have low risk when the liquidity need is actually present.</w:t>
      </w:r>
      <w:r w:rsidR="00EC0D83">
        <w:t xml:space="preserve"> For example, insurance companies invest in fixed income investments for short maturity and high liquidity.</w:t>
      </w:r>
    </w:p>
    <w:p w14:paraId="2F3FBF33" w14:textId="2AFE25A4" w:rsidR="00EC0D83" w:rsidRDefault="00EC0D83" w:rsidP="00EC0D83">
      <w:pPr>
        <w:pStyle w:val="ListParagraph"/>
      </w:pPr>
      <w:r>
        <w:t>TIME HORIZON:</w:t>
      </w:r>
    </w:p>
    <w:p w14:paraId="72F6BB7F" w14:textId="4B56F62F" w:rsidR="00EC0D83" w:rsidRDefault="00EC0D83" w:rsidP="00EC0D83">
      <w:pPr>
        <w:pStyle w:val="ListParagraph"/>
      </w:pPr>
      <w:r>
        <w:t>The IPS should state the time horizon over which the investor is investing. It may be the period over which the portfolio is accumulating before any assets need to be withdrawn; it could also be the period until the client’s circumstances are likely to change. For example, retirement, when client would need to access funds generated from portfolios. Funds may not be liquidated but the structure might need modification.</w:t>
      </w:r>
    </w:p>
    <w:p w14:paraId="622F3FEA" w14:textId="0C944E6C" w:rsidR="00EC0D83" w:rsidRDefault="00EC0D83" w:rsidP="00EC0D83">
      <w:pPr>
        <w:pStyle w:val="ListParagraph"/>
      </w:pPr>
      <w:r>
        <w:t>LEGAL AND REGULATORY CONSTRAINTS:</w:t>
      </w:r>
    </w:p>
    <w:p w14:paraId="30913950" w14:textId="6FFC4D2F" w:rsidR="00EC0D83" w:rsidRDefault="00EC0D83" w:rsidP="00EC0D83">
      <w:pPr>
        <w:pStyle w:val="ListParagraph"/>
      </w:pPr>
      <w:r>
        <w:t>The IPS should state any legal and regulatory restrictions that constrain how the portfolio is invested. In some countries, such institutional investors as pension funds are subject to restrictions on the composition of the portfolio. For example, there may be a limit on the proportion of equities or other risky assets in the portfolio, or on the proportion of the portfolio that may be invested overseas. Pension funds also often face restrictions on the percentage of assets that can be invested in securities issued by the plan sponsor, so called self-investment limits.</w:t>
      </w:r>
    </w:p>
    <w:p w14:paraId="5B2366C4" w14:textId="77777777" w:rsidR="00294CE3" w:rsidRDefault="00EC0D83" w:rsidP="00294CE3">
      <w:pPr>
        <w:pStyle w:val="ListParagraph"/>
      </w:pPr>
      <w:r>
        <w:t>UNIQUE CONSTARIANTS:</w:t>
      </w:r>
    </w:p>
    <w:p w14:paraId="5BCB12B7" w14:textId="782A4949" w:rsidR="00294CE3" w:rsidRDefault="00EC0D83" w:rsidP="00294CE3">
      <w:pPr>
        <w:pStyle w:val="ListParagraph"/>
      </w:pPr>
      <w:r>
        <w:t>This section of the IPS should cover any other aspect of the client’s circumstances, including beliefs and values, that is likely to have a material impact on the composition of the portfolio. A client may have considerations derived from his or her religion or ethical values that could constrain investment choices. For instance, an investor seeking compliance with Shari ‘a (the Islamic law) will avoid investing in businesses and financial instruments inconsistent with Shari ‘a, such as casinos and bonds, because Shari ‘a prohibits gambling and lending money on interest. Similarly, an investor may wish to avoid investments that he or she believes are inconsistent with their faith. Charitable and pension fund investors may have constituencies that want to express their values in an investment portfolio.</w:t>
      </w:r>
    </w:p>
    <w:p w14:paraId="35406CBC" w14:textId="72FC6DD8" w:rsidR="00294CE3" w:rsidRDefault="00EC0D83" w:rsidP="00294CE3">
      <w:pPr>
        <w:pStyle w:val="ListParagraph"/>
        <w:numPr>
          <w:ilvl w:val="0"/>
          <w:numId w:val="3"/>
        </w:numPr>
      </w:pPr>
      <w:r>
        <w:t>_____</w:t>
      </w:r>
    </w:p>
    <w:p w14:paraId="590EEEAE" w14:textId="77777777" w:rsidR="00294CE3" w:rsidRDefault="00294CE3" w:rsidP="00294CE3">
      <w:pPr>
        <w:pStyle w:val="ListParagraph"/>
        <w:numPr>
          <w:ilvl w:val="0"/>
          <w:numId w:val="3"/>
        </w:numPr>
      </w:pPr>
    </w:p>
    <w:tbl>
      <w:tblPr>
        <w:tblStyle w:val="TableGrid"/>
        <w:tblpPr w:leftFromText="180" w:rightFromText="180" w:vertAnchor="text" w:horzAnchor="margin" w:tblpXSpec="right" w:tblpY="213"/>
        <w:tblW w:w="8314" w:type="dxa"/>
        <w:tblLook w:val="04A0" w:firstRow="1" w:lastRow="0" w:firstColumn="1" w:lastColumn="0" w:noHBand="0" w:noVBand="1"/>
      </w:tblPr>
      <w:tblGrid>
        <w:gridCol w:w="1704"/>
        <w:gridCol w:w="1676"/>
        <w:gridCol w:w="1705"/>
        <w:gridCol w:w="1632"/>
        <w:gridCol w:w="1597"/>
      </w:tblGrid>
      <w:tr w:rsidR="00294CE3" w14:paraId="33860551" w14:textId="77777777" w:rsidTr="00294CE3">
        <w:trPr>
          <w:trHeight w:val="488"/>
        </w:trPr>
        <w:tc>
          <w:tcPr>
            <w:tcW w:w="1704" w:type="dxa"/>
          </w:tcPr>
          <w:p w14:paraId="5D2EA21F" w14:textId="77777777" w:rsidR="00294CE3" w:rsidRDefault="00294CE3" w:rsidP="00294CE3">
            <w:pPr>
              <w:pStyle w:val="ListParagraph"/>
              <w:ind w:left="0"/>
            </w:pPr>
            <w:r>
              <w:t>INVESTOR</w:t>
            </w:r>
          </w:p>
        </w:tc>
        <w:tc>
          <w:tcPr>
            <w:tcW w:w="1676" w:type="dxa"/>
          </w:tcPr>
          <w:p w14:paraId="610E6D2E" w14:textId="77777777" w:rsidR="00294CE3" w:rsidRDefault="00294CE3" w:rsidP="00294CE3">
            <w:pPr>
              <w:pStyle w:val="ListParagraph"/>
              <w:ind w:left="0"/>
            </w:pPr>
            <w:r>
              <w:t>RISK TOLERANCE</w:t>
            </w:r>
          </w:p>
        </w:tc>
        <w:tc>
          <w:tcPr>
            <w:tcW w:w="1705" w:type="dxa"/>
          </w:tcPr>
          <w:p w14:paraId="017F6976" w14:textId="77777777" w:rsidR="00294CE3" w:rsidRDefault="00294CE3" w:rsidP="00294CE3">
            <w:pPr>
              <w:pStyle w:val="ListParagraph"/>
              <w:ind w:left="0"/>
            </w:pPr>
            <w:r>
              <w:t>INVESTMENT HORIZON</w:t>
            </w:r>
          </w:p>
        </w:tc>
        <w:tc>
          <w:tcPr>
            <w:tcW w:w="1632" w:type="dxa"/>
          </w:tcPr>
          <w:p w14:paraId="0FFD8EFD" w14:textId="77777777" w:rsidR="00294CE3" w:rsidRDefault="00294CE3" w:rsidP="00294CE3">
            <w:pPr>
              <w:pStyle w:val="ListParagraph"/>
              <w:ind w:left="0"/>
            </w:pPr>
            <w:r>
              <w:t>LIQUIDITY NEEDS</w:t>
            </w:r>
          </w:p>
        </w:tc>
        <w:tc>
          <w:tcPr>
            <w:tcW w:w="1597" w:type="dxa"/>
          </w:tcPr>
          <w:p w14:paraId="0D633F74" w14:textId="77777777" w:rsidR="00294CE3" w:rsidRDefault="00294CE3" w:rsidP="00294CE3">
            <w:pPr>
              <w:pStyle w:val="ListParagraph"/>
              <w:ind w:left="0"/>
            </w:pPr>
            <w:r>
              <w:t>INCOME NEEDS</w:t>
            </w:r>
          </w:p>
        </w:tc>
      </w:tr>
      <w:tr w:rsidR="00294CE3" w14:paraId="5FE211F5" w14:textId="77777777" w:rsidTr="00294CE3">
        <w:trPr>
          <w:trHeight w:val="244"/>
        </w:trPr>
        <w:tc>
          <w:tcPr>
            <w:tcW w:w="1704" w:type="dxa"/>
          </w:tcPr>
          <w:p w14:paraId="3786D126" w14:textId="77777777" w:rsidR="00294CE3" w:rsidRDefault="00294CE3" w:rsidP="00294CE3">
            <w:pPr>
              <w:pStyle w:val="ListParagraph"/>
              <w:ind w:left="0"/>
            </w:pPr>
            <w:r>
              <w:t>Individuals</w:t>
            </w:r>
          </w:p>
        </w:tc>
        <w:tc>
          <w:tcPr>
            <w:tcW w:w="1676" w:type="dxa"/>
          </w:tcPr>
          <w:p w14:paraId="4A128365" w14:textId="77777777" w:rsidR="00294CE3" w:rsidRDefault="00294CE3" w:rsidP="00294CE3">
            <w:pPr>
              <w:pStyle w:val="ListParagraph"/>
              <w:ind w:left="0"/>
            </w:pPr>
            <w:r>
              <w:t>Varies</w:t>
            </w:r>
          </w:p>
        </w:tc>
        <w:tc>
          <w:tcPr>
            <w:tcW w:w="1705" w:type="dxa"/>
          </w:tcPr>
          <w:p w14:paraId="4347A118" w14:textId="77777777" w:rsidR="00294CE3" w:rsidRDefault="00294CE3" w:rsidP="00294CE3">
            <w:pPr>
              <w:pStyle w:val="ListParagraph"/>
              <w:ind w:left="0"/>
            </w:pPr>
            <w:r>
              <w:t>Varies</w:t>
            </w:r>
          </w:p>
        </w:tc>
        <w:tc>
          <w:tcPr>
            <w:tcW w:w="1632" w:type="dxa"/>
          </w:tcPr>
          <w:p w14:paraId="2DFBE2AC" w14:textId="77777777" w:rsidR="00294CE3" w:rsidRDefault="00294CE3" w:rsidP="00294CE3">
            <w:pPr>
              <w:pStyle w:val="ListParagraph"/>
              <w:ind w:left="0"/>
            </w:pPr>
            <w:r>
              <w:t>Varies</w:t>
            </w:r>
          </w:p>
        </w:tc>
        <w:tc>
          <w:tcPr>
            <w:tcW w:w="1597" w:type="dxa"/>
          </w:tcPr>
          <w:p w14:paraId="3333A8DE" w14:textId="77777777" w:rsidR="00294CE3" w:rsidRDefault="00294CE3" w:rsidP="00294CE3">
            <w:pPr>
              <w:pStyle w:val="ListParagraph"/>
              <w:ind w:left="0"/>
            </w:pPr>
            <w:r>
              <w:t>Varies</w:t>
            </w:r>
          </w:p>
        </w:tc>
      </w:tr>
      <w:tr w:rsidR="00294CE3" w14:paraId="2A3BC014" w14:textId="77777777" w:rsidTr="00294CE3">
        <w:trPr>
          <w:trHeight w:val="235"/>
        </w:trPr>
        <w:tc>
          <w:tcPr>
            <w:tcW w:w="1704" w:type="dxa"/>
          </w:tcPr>
          <w:p w14:paraId="7ED7BE84" w14:textId="77777777" w:rsidR="00294CE3" w:rsidRDefault="00294CE3" w:rsidP="00294CE3">
            <w:pPr>
              <w:pStyle w:val="ListParagraph"/>
              <w:ind w:left="0"/>
            </w:pPr>
            <w:r>
              <w:t xml:space="preserve">Banks </w:t>
            </w:r>
          </w:p>
        </w:tc>
        <w:tc>
          <w:tcPr>
            <w:tcW w:w="1676" w:type="dxa"/>
          </w:tcPr>
          <w:p w14:paraId="35B4B7FA" w14:textId="77777777" w:rsidR="00294CE3" w:rsidRDefault="00294CE3" w:rsidP="00294CE3">
            <w:pPr>
              <w:pStyle w:val="ListParagraph"/>
              <w:ind w:left="0"/>
            </w:pPr>
            <w:r>
              <w:t>Very low</w:t>
            </w:r>
          </w:p>
        </w:tc>
        <w:tc>
          <w:tcPr>
            <w:tcW w:w="1705" w:type="dxa"/>
          </w:tcPr>
          <w:p w14:paraId="7102CC8E" w14:textId="77777777" w:rsidR="00294CE3" w:rsidRDefault="00294CE3" w:rsidP="00294CE3">
            <w:pPr>
              <w:pStyle w:val="ListParagraph"/>
              <w:ind w:left="0"/>
            </w:pPr>
            <w:r>
              <w:t>Short term</w:t>
            </w:r>
          </w:p>
        </w:tc>
        <w:tc>
          <w:tcPr>
            <w:tcW w:w="1632" w:type="dxa"/>
          </w:tcPr>
          <w:p w14:paraId="136E6284" w14:textId="77777777" w:rsidR="00294CE3" w:rsidRDefault="00294CE3" w:rsidP="00294CE3">
            <w:pPr>
              <w:pStyle w:val="ListParagraph"/>
              <w:ind w:left="0"/>
            </w:pPr>
            <w:r>
              <w:t>High to meet repayment of deposits</w:t>
            </w:r>
          </w:p>
        </w:tc>
        <w:tc>
          <w:tcPr>
            <w:tcW w:w="1597" w:type="dxa"/>
          </w:tcPr>
          <w:p w14:paraId="0CC63068" w14:textId="77777777" w:rsidR="00294CE3" w:rsidRDefault="00294CE3" w:rsidP="00294CE3">
            <w:pPr>
              <w:pStyle w:val="ListParagraph"/>
              <w:ind w:left="0"/>
            </w:pPr>
            <w:r>
              <w:t xml:space="preserve">Payment of interest on deposits and </w:t>
            </w:r>
            <w:r>
              <w:lastRenderedPageBreak/>
              <w:t>operational expenses.</w:t>
            </w:r>
          </w:p>
        </w:tc>
      </w:tr>
      <w:tr w:rsidR="00294CE3" w14:paraId="69D80DD2" w14:textId="77777777" w:rsidTr="00294CE3">
        <w:trPr>
          <w:trHeight w:val="244"/>
        </w:trPr>
        <w:tc>
          <w:tcPr>
            <w:tcW w:w="1704" w:type="dxa"/>
          </w:tcPr>
          <w:p w14:paraId="51447EE1" w14:textId="77777777" w:rsidR="00294CE3" w:rsidRDefault="00294CE3" w:rsidP="00294CE3">
            <w:pPr>
              <w:pStyle w:val="ListParagraph"/>
              <w:ind w:left="0"/>
            </w:pPr>
            <w:r>
              <w:lastRenderedPageBreak/>
              <w:t>Endowments</w:t>
            </w:r>
          </w:p>
        </w:tc>
        <w:tc>
          <w:tcPr>
            <w:tcW w:w="1676" w:type="dxa"/>
          </w:tcPr>
          <w:p w14:paraId="4BC45FBE" w14:textId="77777777" w:rsidR="00294CE3" w:rsidRDefault="00294CE3" w:rsidP="00294CE3">
            <w:pPr>
              <w:pStyle w:val="ListParagraph"/>
              <w:ind w:left="0"/>
            </w:pPr>
            <w:r>
              <w:t>Usually, high</w:t>
            </w:r>
          </w:p>
        </w:tc>
        <w:tc>
          <w:tcPr>
            <w:tcW w:w="1705" w:type="dxa"/>
          </w:tcPr>
          <w:p w14:paraId="4799EC57" w14:textId="77777777" w:rsidR="00294CE3" w:rsidRDefault="00294CE3" w:rsidP="00294CE3">
            <w:pPr>
              <w:pStyle w:val="ListParagraph"/>
              <w:ind w:left="0"/>
            </w:pPr>
            <w:r>
              <w:t>Very long term</w:t>
            </w:r>
          </w:p>
        </w:tc>
        <w:tc>
          <w:tcPr>
            <w:tcW w:w="1632" w:type="dxa"/>
          </w:tcPr>
          <w:p w14:paraId="770CAA28" w14:textId="77777777" w:rsidR="00294CE3" w:rsidRDefault="00294CE3" w:rsidP="00294CE3">
            <w:pPr>
              <w:pStyle w:val="ListParagraph"/>
              <w:ind w:left="0"/>
            </w:pPr>
            <w:r>
              <w:t>Ver low usually</w:t>
            </w:r>
          </w:p>
        </w:tc>
        <w:tc>
          <w:tcPr>
            <w:tcW w:w="1597" w:type="dxa"/>
          </w:tcPr>
          <w:p w14:paraId="3BE8B798" w14:textId="77777777" w:rsidR="00294CE3" w:rsidRDefault="00294CE3" w:rsidP="00294CE3">
            <w:pPr>
              <w:pStyle w:val="ListParagraph"/>
              <w:ind w:left="0"/>
            </w:pPr>
            <w:r>
              <w:t>To meet spending commitments</w:t>
            </w:r>
          </w:p>
        </w:tc>
      </w:tr>
      <w:tr w:rsidR="00294CE3" w14:paraId="7230DB3F" w14:textId="77777777" w:rsidTr="00294CE3">
        <w:trPr>
          <w:trHeight w:val="244"/>
        </w:trPr>
        <w:tc>
          <w:tcPr>
            <w:tcW w:w="1704" w:type="dxa"/>
          </w:tcPr>
          <w:p w14:paraId="209715B2" w14:textId="77777777" w:rsidR="00294CE3" w:rsidRDefault="00294CE3" w:rsidP="00294CE3">
            <w:pPr>
              <w:pStyle w:val="ListParagraph"/>
              <w:ind w:left="0"/>
            </w:pPr>
            <w:r>
              <w:t>Insurance</w:t>
            </w:r>
          </w:p>
        </w:tc>
        <w:tc>
          <w:tcPr>
            <w:tcW w:w="1676" w:type="dxa"/>
          </w:tcPr>
          <w:p w14:paraId="5F28106C" w14:textId="77777777" w:rsidR="00294CE3" w:rsidRDefault="00294CE3" w:rsidP="00294CE3">
            <w:pPr>
              <w:pStyle w:val="ListParagraph"/>
              <w:ind w:left="0"/>
            </w:pPr>
            <w:r>
              <w:t>Very low</w:t>
            </w:r>
          </w:p>
        </w:tc>
        <w:tc>
          <w:tcPr>
            <w:tcW w:w="1705" w:type="dxa"/>
          </w:tcPr>
          <w:p w14:paraId="1F0AF95F" w14:textId="77777777" w:rsidR="00294CE3" w:rsidRDefault="00294CE3" w:rsidP="00294CE3">
            <w:pPr>
              <w:pStyle w:val="ListParagraph"/>
              <w:ind w:left="0"/>
            </w:pPr>
            <w:r>
              <w:t>P&amp;C- short term</w:t>
            </w:r>
          </w:p>
          <w:p w14:paraId="030D67D7" w14:textId="77777777" w:rsidR="00294CE3" w:rsidRDefault="00294CE3" w:rsidP="00294CE3">
            <w:pPr>
              <w:pStyle w:val="ListParagraph"/>
              <w:ind w:left="0"/>
            </w:pPr>
            <w:r>
              <w:t>Life Insurance- long term</w:t>
            </w:r>
          </w:p>
        </w:tc>
        <w:tc>
          <w:tcPr>
            <w:tcW w:w="1632" w:type="dxa"/>
          </w:tcPr>
          <w:p w14:paraId="34554AAB" w14:textId="77777777" w:rsidR="00294CE3" w:rsidRDefault="00294CE3" w:rsidP="00294CE3">
            <w:pPr>
              <w:pStyle w:val="ListParagraph"/>
              <w:ind w:left="0"/>
            </w:pPr>
            <w:r>
              <w:t xml:space="preserve">High to meet claims </w:t>
            </w:r>
          </w:p>
        </w:tc>
        <w:tc>
          <w:tcPr>
            <w:tcW w:w="1597" w:type="dxa"/>
          </w:tcPr>
          <w:p w14:paraId="471E585E" w14:textId="77777777" w:rsidR="00294CE3" w:rsidRDefault="00294CE3" w:rsidP="00294CE3">
            <w:pPr>
              <w:pStyle w:val="ListParagraph"/>
              <w:ind w:left="0"/>
            </w:pPr>
            <w:r>
              <w:t>Low</w:t>
            </w:r>
          </w:p>
        </w:tc>
      </w:tr>
      <w:tr w:rsidR="00294CE3" w14:paraId="75C0A5B1" w14:textId="77777777" w:rsidTr="00294CE3">
        <w:trPr>
          <w:trHeight w:val="244"/>
        </w:trPr>
        <w:tc>
          <w:tcPr>
            <w:tcW w:w="1704" w:type="dxa"/>
          </w:tcPr>
          <w:p w14:paraId="5757FC91" w14:textId="77777777" w:rsidR="00294CE3" w:rsidRDefault="00294CE3" w:rsidP="00294CE3">
            <w:pPr>
              <w:pStyle w:val="ListParagraph"/>
              <w:ind w:left="0"/>
            </w:pPr>
            <w:r>
              <w:t>Mutual Funds</w:t>
            </w:r>
          </w:p>
        </w:tc>
        <w:tc>
          <w:tcPr>
            <w:tcW w:w="1676" w:type="dxa"/>
          </w:tcPr>
          <w:p w14:paraId="65812A1B" w14:textId="77777777" w:rsidR="00294CE3" w:rsidRDefault="00294CE3" w:rsidP="00294CE3">
            <w:pPr>
              <w:pStyle w:val="ListParagraph"/>
              <w:ind w:left="0"/>
            </w:pPr>
            <w:r>
              <w:t>Varies</w:t>
            </w:r>
          </w:p>
        </w:tc>
        <w:tc>
          <w:tcPr>
            <w:tcW w:w="1705" w:type="dxa"/>
          </w:tcPr>
          <w:p w14:paraId="27392913" w14:textId="77777777" w:rsidR="00294CE3" w:rsidRDefault="00294CE3" w:rsidP="00294CE3">
            <w:pPr>
              <w:pStyle w:val="ListParagraph"/>
              <w:ind w:left="0"/>
            </w:pPr>
            <w:r>
              <w:t>Varies</w:t>
            </w:r>
          </w:p>
        </w:tc>
        <w:tc>
          <w:tcPr>
            <w:tcW w:w="1632" w:type="dxa"/>
          </w:tcPr>
          <w:p w14:paraId="56E97A85" w14:textId="77777777" w:rsidR="00294CE3" w:rsidRDefault="00294CE3" w:rsidP="00294CE3">
            <w:pPr>
              <w:pStyle w:val="ListParagraph"/>
              <w:ind w:left="0"/>
            </w:pPr>
            <w:r>
              <w:t>Varies</w:t>
            </w:r>
          </w:p>
        </w:tc>
        <w:tc>
          <w:tcPr>
            <w:tcW w:w="1597" w:type="dxa"/>
          </w:tcPr>
          <w:p w14:paraId="560E1822" w14:textId="77777777" w:rsidR="00294CE3" w:rsidRDefault="00294CE3" w:rsidP="00294CE3">
            <w:pPr>
              <w:pStyle w:val="ListParagraph"/>
              <w:ind w:left="0"/>
            </w:pPr>
            <w:r>
              <w:t>Varies</w:t>
            </w:r>
          </w:p>
        </w:tc>
      </w:tr>
      <w:tr w:rsidR="00294CE3" w14:paraId="65172C72" w14:textId="77777777" w:rsidTr="00294CE3">
        <w:trPr>
          <w:trHeight w:val="244"/>
        </w:trPr>
        <w:tc>
          <w:tcPr>
            <w:tcW w:w="1704" w:type="dxa"/>
          </w:tcPr>
          <w:p w14:paraId="7AA1733B" w14:textId="77777777" w:rsidR="00294CE3" w:rsidRDefault="00294CE3" w:rsidP="00294CE3">
            <w:pPr>
              <w:pStyle w:val="ListParagraph"/>
              <w:ind w:left="0"/>
            </w:pPr>
            <w:r>
              <w:t xml:space="preserve">Defined benefit pensions </w:t>
            </w:r>
          </w:p>
        </w:tc>
        <w:tc>
          <w:tcPr>
            <w:tcW w:w="1676" w:type="dxa"/>
          </w:tcPr>
          <w:p w14:paraId="1ECE890F" w14:textId="77777777" w:rsidR="00294CE3" w:rsidRDefault="00294CE3" w:rsidP="00294CE3">
            <w:pPr>
              <w:pStyle w:val="ListParagraph"/>
              <w:ind w:left="0"/>
            </w:pPr>
            <w:r>
              <w:t>Very high</w:t>
            </w:r>
          </w:p>
        </w:tc>
        <w:tc>
          <w:tcPr>
            <w:tcW w:w="1705" w:type="dxa"/>
          </w:tcPr>
          <w:p w14:paraId="746CCA34" w14:textId="77777777" w:rsidR="00294CE3" w:rsidRDefault="00294CE3" w:rsidP="00294CE3">
            <w:pPr>
              <w:pStyle w:val="ListParagraph"/>
              <w:ind w:left="0"/>
            </w:pPr>
            <w:r>
              <w:t>Long term</w:t>
            </w:r>
          </w:p>
        </w:tc>
        <w:tc>
          <w:tcPr>
            <w:tcW w:w="1632" w:type="dxa"/>
          </w:tcPr>
          <w:p w14:paraId="0C963138" w14:textId="77777777" w:rsidR="00294CE3" w:rsidRDefault="00294CE3" w:rsidP="00294CE3">
            <w:pPr>
              <w:pStyle w:val="ListParagraph"/>
              <w:ind w:left="0"/>
            </w:pPr>
            <w:r>
              <w:t>Varies according to maturity of the plan</w:t>
            </w:r>
          </w:p>
        </w:tc>
        <w:tc>
          <w:tcPr>
            <w:tcW w:w="1597" w:type="dxa"/>
          </w:tcPr>
          <w:p w14:paraId="78EADC6D" w14:textId="3A8FF47F" w:rsidR="00294CE3" w:rsidRDefault="00294CE3" w:rsidP="00294CE3">
            <w:pPr>
              <w:pStyle w:val="ListParagraph"/>
              <w:ind w:left="0"/>
            </w:pPr>
            <w:r>
              <w:t>Hugh for mature funds, low for growing funds</w:t>
            </w:r>
          </w:p>
        </w:tc>
      </w:tr>
    </w:tbl>
    <w:p w14:paraId="6CF9992A" w14:textId="77777777" w:rsidR="00294CE3" w:rsidRDefault="00294CE3" w:rsidP="00294CE3">
      <w:pPr>
        <w:ind w:left="360"/>
      </w:pPr>
    </w:p>
    <w:p w14:paraId="5334C5C8" w14:textId="6684BC84" w:rsidR="00EC0D83" w:rsidRDefault="00EC0D83" w:rsidP="00EC0D83">
      <w:pPr>
        <w:pStyle w:val="ListParagraph"/>
      </w:pPr>
    </w:p>
    <w:p w14:paraId="59369F39" w14:textId="20C52990" w:rsidR="00294CE3" w:rsidRDefault="00294CE3" w:rsidP="00294CE3">
      <w:pPr>
        <w:pStyle w:val="ListParagraph"/>
        <w:numPr>
          <w:ilvl w:val="0"/>
          <w:numId w:val="3"/>
        </w:numPr>
      </w:pPr>
      <w:r>
        <w:t>DEFINED CONTRIBUTION:</w:t>
      </w:r>
    </w:p>
    <w:p w14:paraId="46D844EB" w14:textId="23754F92" w:rsidR="00294CE3" w:rsidRDefault="00294CE3" w:rsidP="00294CE3">
      <w:pPr>
        <w:pStyle w:val="ListParagraph"/>
      </w:pPr>
      <w:r>
        <w:t>DC plans are retirement plans in the employee’s name usually funded by both the employee and the employer. Examples include 401(k) plans in the United States, group personal pension schemes in the United Kingdom, and superannuation plans in Australia. With DC plans, individuals will invest part of their wages while working, expecting to draw on the accumulated funds to provide income during retirement or to transfer some of their wealth to their heirs. The key to a DC plan is that the employee accepts the investment and inflation risk and is responsible for ensuring that there are enough assets in the plan to meet their needs upon retirement.</w:t>
      </w:r>
    </w:p>
    <w:p w14:paraId="667A68A2" w14:textId="43BFB459" w:rsidR="00294CE3" w:rsidRDefault="00FD0122" w:rsidP="00294CE3">
      <w:pPr>
        <w:pStyle w:val="ListParagraph"/>
      </w:pPr>
      <w:r>
        <w:t>DEFINED BENEFIT PLANS:</w:t>
      </w:r>
    </w:p>
    <w:p w14:paraId="2C76A21C" w14:textId="566A4241" w:rsidR="00FD0122" w:rsidRDefault="00FD0122" w:rsidP="00294CE3">
      <w:pPr>
        <w:pStyle w:val="ListParagraph"/>
      </w:pPr>
      <w:r>
        <w:t xml:space="preserve">Defined benefit pension plans (DB plans) are company-sponsored plans that offer employees a predefined benefit on retirement. The future benefit is defined because the DB plan requires the plan sponsor to specify the obligation stated in terms of the retirement income benefits owed to participants. Generally, employers are responsible for the contributions made to a DB plan and bear the risk associated with adequately funding the benefits offered to employees. Plans are committed to paying pensions to members, and the assets of these plans are there to fund those payments. Plan managers need to ensure that sufficient assets will be available to pay pension benefits as they come due. The plan may have an indefinitely </w:t>
      </w:r>
      <w:r w:rsidR="00D32460">
        <w:t>long-time</w:t>
      </w:r>
      <w:r>
        <w:t xml:space="preserve"> horizon if new plan members are being admitted or a finite time horizon if the plan has been closed to new members. </w:t>
      </w:r>
    </w:p>
    <w:p w14:paraId="59C0C302" w14:textId="5305F6BF" w:rsidR="00FD0122" w:rsidRDefault="00FD0122" w:rsidP="00294CE3">
      <w:pPr>
        <w:pStyle w:val="ListParagraph"/>
      </w:pPr>
    </w:p>
    <w:p w14:paraId="26D7E11E" w14:textId="42E40CAC" w:rsidR="00FD0122" w:rsidRDefault="00FD0122" w:rsidP="00294CE3">
      <w:pPr>
        <w:pStyle w:val="ListParagraph"/>
      </w:pPr>
    </w:p>
    <w:p w14:paraId="41C6F4FB" w14:textId="08B11A80" w:rsidR="00FD0122" w:rsidRDefault="00FD0122" w:rsidP="00294CE3">
      <w:pPr>
        <w:pStyle w:val="ListParagraph"/>
      </w:pPr>
    </w:p>
    <w:p w14:paraId="0D5267C3" w14:textId="2D634D5A" w:rsidR="00FD0122" w:rsidRDefault="00FD0122" w:rsidP="00294CE3">
      <w:pPr>
        <w:pStyle w:val="ListParagraph"/>
      </w:pPr>
    </w:p>
    <w:p w14:paraId="559B414C" w14:textId="4024E503" w:rsidR="00FD0122" w:rsidRDefault="00FD0122" w:rsidP="00294CE3">
      <w:pPr>
        <w:pStyle w:val="ListParagraph"/>
      </w:pPr>
    </w:p>
    <w:p w14:paraId="62728D36" w14:textId="5FA04AC0" w:rsidR="00FD0122" w:rsidRDefault="00FD0122" w:rsidP="00294CE3">
      <w:pPr>
        <w:pStyle w:val="ListParagraph"/>
      </w:pPr>
    </w:p>
    <w:p w14:paraId="23608470" w14:textId="48C58A9D" w:rsidR="00FD0122" w:rsidRDefault="00FD0122" w:rsidP="00294CE3">
      <w:pPr>
        <w:pStyle w:val="ListParagraph"/>
      </w:pPr>
    </w:p>
    <w:p w14:paraId="5D637F47" w14:textId="4D16A341" w:rsidR="00FD0122" w:rsidRDefault="00FD0122" w:rsidP="00294CE3">
      <w:pPr>
        <w:pStyle w:val="ListParagraph"/>
      </w:pPr>
    </w:p>
    <w:p w14:paraId="7881D3FE" w14:textId="27AEC03F" w:rsidR="00FD0122" w:rsidRDefault="00FD0122" w:rsidP="00294CE3">
      <w:pPr>
        <w:pStyle w:val="ListParagraph"/>
      </w:pPr>
    </w:p>
    <w:p w14:paraId="7611E5DC" w14:textId="27AC12DF" w:rsidR="00FD0122" w:rsidRDefault="00FD0122" w:rsidP="00294CE3">
      <w:pPr>
        <w:pStyle w:val="ListParagraph"/>
      </w:pPr>
    </w:p>
    <w:p w14:paraId="0F5CC8DC" w14:textId="75925D36" w:rsidR="00FD0122" w:rsidRDefault="00FD0122" w:rsidP="00294CE3">
      <w:pPr>
        <w:pStyle w:val="ListParagraph"/>
      </w:pPr>
    </w:p>
    <w:p w14:paraId="0B0ED0CA" w14:textId="526C85B6" w:rsidR="00FD0122" w:rsidRDefault="00FD0122" w:rsidP="00294CE3">
      <w:pPr>
        <w:pStyle w:val="ListParagraph"/>
      </w:pPr>
    </w:p>
    <w:p w14:paraId="28527707" w14:textId="7EAD0E32" w:rsidR="00FD0122" w:rsidRDefault="00FD0122" w:rsidP="00294CE3">
      <w:pPr>
        <w:pStyle w:val="ListParagraph"/>
      </w:pPr>
    </w:p>
    <w:p w14:paraId="50069F61" w14:textId="291D38F6" w:rsidR="00FD0122" w:rsidRDefault="00FD0122" w:rsidP="00294CE3">
      <w:pPr>
        <w:pStyle w:val="ListParagraph"/>
      </w:pPr>
    </w:p>
    <w:p w14:paraId="611EFE58" w14:textId="7D107305" w:rsidR="00FD0122" w:rsidRDefault="00FD0122" w:rsidP="00294CE3">
      <w:pPr>
        <w:pStyle w:val="ListParagraph"/>
      </w:pPr>
    </w:p>
    <w:p w14:paraId="05A1B15E" w14:textId="11101BD8" w:rsidR="00FD0122" w:rsidRDefault="00FD0122" w:rsidP="00294CE3">
      <w:pPr>
        <w:pStyle w:val="ListParagraph"/>
      </w:pPr>
    </w:p>
    <w:p w14:paraId="3208D6D5" w14:textId="0F02AA1C" w:rsidR="00FD0122" w:rsidRDefault="00FD0122" w:rsidP="00FD0122">
      <w:pPr>
        <w:pStyle w:val="ListParagraph"/>
        <w:jc w:val="center"/>
      </w:pPr>
      <w:r>
        <w:t>UNIT- 4</w:t>
      </w:r>
    </w:p>
    <w:p w14:paraId="7444BB47" w14:textId="0BD17B19" w:rsidR="00FD0122" w:rsidRDefault="00FD0122" w:rsidP="00FD0122">
      <w:pPr>
        <w:pStyle w:val="ListParagraph"/>
      </w:pPr>
    </w:p>
    <w:p w14:paraId="7E6C1B8F" w14:textId="07DE928C" w:rsidR="00FD0122" w:rsidRDefault="00FD0122" w:rsidP="00FD0122">
      <w:pPr>
        <w:pStyle w:val="ListParagraph"/>
        <w:numPr>
          <w:ilvl w:val="0"/>
          <w:numId w:val="11"/>
        </w:numPr>
      </w:pPr>
      <w:r>
        <w:t>D</w:t>
      </w:r>
    </w:p>
    <w:p w14:paraId="68ECF534" w14:textId="30254780" w:rsidR="00FD0122" w:rsidRDefault="00FD0122" w:rsidP="00FD0122">
      <w:pPr>
        <w:pStyle w:val="ListParagraph"/>
        <w:numPr>
          <w:ilvl w:val="0"/>
          <w:numId w:val="11"/>
        </w:numPr>
      </w:pPr>
      <w:r>
        <w:t>D</w:t>
      </w:r>
    </w:p>
    <w:p w14:paraId="2134CB66" w14:textId="286D1ECF" w:rsidR="00FD0122" w:rsidRDefault="00FD0122" w:rsidP="00FD0122">
      <w:pPr>
        <w:pStyle w:val="ListParagraph"/>
        <w:numPr>
          <w:ilvl w:val="0"/>
          <w:numId w:val="11"/>
        </w:numPr>
      </w:pPr>
      <w:r>
        <w:t>__</w:t>
      </w:r>
    </w:p>
    <w:p w14:paraId="7EF147A7" w14:textId="36C501BA" w:rsidR="00FD0122" w:rsidRDefault="00FD0122" w:rsidP="00FD0122">
      <w:pPr>
        <w:pStyle w:val="ListParagraph"/>
        <w:numPr>
          <w:ilvl w:val="0"/>
          <w:numId w:val="11"/>
        </w:numPr>
      </w:pPr>
      <w:r>
        <w:t>__</w:t>
      </w:r>
    </w:p>
    <w:p w14:paraId="3EE00D6B" w14:textId="17B47384" w:rsidR="00FD0122" w:rsidRDefault="00FD0122" w:rsidP="00FD0122">
      <w:pPr>
        <w:pStyle w:val="ListParagraph"/>
        <w:numPr>
          <w:ilvl w:val="0"/>
          <w:numId w:val="11"/>
        </w:numPr>
      </w:pPr>
      <w:r>
        <w:t>__</w:t>
      </w:r>
    </w:p>
    <w:p w14:paraId="00C055D7" w14:textId="25230CED" w:rsidR="00FD0122" w:rsidRDefault="00FD0122" w:rsidP="00FD0122">
      <w:pPr>
        <w:pStyle w:val="ListParagraph"/>
        <w:numPr>
          <w:ilvl w:val="0"/>
          <w:numId w:val="11"/>
        </w:numPr>
      </w:pPr>
      <w:r>
        <w:t>B</w:t>
      </w:r>
    </w:p>
    <w:p w14:paraId="4CB3A7CE" w14:textId="6AB7A0C5" w:rsidR="00FD0122" w:rsidRDefault="00FD0122" w:rsidP="00FD0122">
      <w:pPr>
        <w:pStyle w:val="ListParagraph"/>
        <w:numPr>
          <w:ilvl w:val="0"/>
          <w:numId w:val="11"/>
        </w:numPr>
      </w:pPr>
      <w:r>
        <w:t>A</w:t>
      </w:r>
    </w:p>
    <w:p w14:paraId="219F8C38" w14:textId="7E4BC57F" w:rsidR="00FD0122" w:rsidRDefault="00FD0122" w:rsidP="00FD0122">
      <w:pPr>
        <w:pStyle w:val="ListParagraph"/>
        <w:numPr>
          <w:ilvl w:val="0"/>
          <w:numId w:val="11"/>
        </w:numPr>
      </w:pPr>
      <w:r>
        <w:t>B</w:t>
      </w:r>
    </w:p>
    <w:p w14:paraId="30858B4F" w14:textId="4CBDE061" w:rsidR="00FD0122" w:rsidRDefault="00FD0122" w:rsidP="00FD0122">
      <w:pPr>
        <w:pStyle w:val="ListParagraph"/>
        <w:numPr>
          <w:ilvl w:val="0"/>
          <w:numId w:val="11"/>
        </w:numPr>
      </w:pPr>
      <w:r>
        <w:t>A</w:t>
      </w:r>
    </w:p>
    <w:p w14:paraId="4632BB96" w14:textId="5FA42AF4" w:rsidR="00FD0122" w:rsidRDefault="00FD0122" w:rsidP="00FD0122">
      <w:pPr>
        <w:pStyle w:val="ListParagraph"/>
        <w:numPr>
          <w:ilvl w:val="0"/>
          <w:numId w:val="11"/>
        </w:numPr>
      </w:pPr>
      <w:r>
        <w:t>A</w:t>
      </w:r>
    </w:p>
    <w:p w14:paraId="3810B1BA" w14:textId="2514FDD1" w:rsidR="00FD0122" w:rsidRDefault="00FD0122" w:rsidP="00FD0122">
      <w:pPr>
        <w:pStyle w:val="ListParagraph"/>
        <w:numPr>
          <w:ilvl w:val="0"/>
          <w:numId w:val="11"/>
        </w:numPr>
      </w:pPr>
      <w:r w:rsidRPr="00FD0122">
        <w:t>Porter's Five Forces is a business analysis model that helps to explain why various industries are able to sustain different levels of profitability. The model was published in Michael E. Porter's book, "Competitive Strategy: Techniques for Analyzing Industries and Competitors" in 1980.1﻿ The Five Forces model is widely used to analyze the industry structure of a company as well as its corporate strategy. Porter identified five undeniable forces that play a part in shaping every market and industry in the world, with some caveats. The five forces are frequently used to measure competition intensity, attractiveness, and profitability of an industry or market.</w:t>
      </w:r>
    </w:p>
    <w:p w14:paraId="2D096C40" w14:textId="3FB22931" w:rsidR="00FD0122" w:rsidRDefault="00FD0122" w:rsidP="00FD0122">
      <w:pPr>
        <w:pStyle w:val="ListParagraph"/>
      </w:pPr>
      <w:r>
        <w:t>Porter's five forces are:</w:t>
      </w:r>
    </w:p>
    <w:p w14:paraId="75F54E5D" w14:textId="74EE4EE2" w:rsidR="00FD0122" w:rsidRDefault="00FD0122" w:rsidP="00FD0122">
      <w:pPr>
        <w:pStyle w:val="ListParagraph"/>
      </w:pPr>
      <w:r>
        <w:t>1. Competition in the industry</w:t>
      </w:r>
    </w:p>
    <w:p w14:paraId="0F5351AA" w14:textId="7D54053D" w:rsidR="00FD0122" w:rsidRDefault="00FD0122" w:rsidP="00FD0122">
      <w:pPr>
        <w:pStyle w:val="ListParagraph"/>
      </w:pPr>
      <w:r>
        <w:t>2. Potential of new entrants into the industry</w:t>
      </w:r>
    </w:p>
    <w:p w14:paraId="1C108A86" w14:textId="68A805A6" w:rsidR="00FD0122" w:rsidRDefault="00FD0122" w:rsidP="00FD0122">
      <w:pPr>
        <w:pStyle w:val="ListParagraph"/>
      </w:pPr>
      <w:r>
        <w:t>3. Power of suppliers</w:t>
      </w:r>
    </w:p>
    <w:p w14:paraId="0B753095" w14:textId="2984D6C2" w:rsidR="00FD0122" w:rsidRDefault="00FD0122" w:rsidP="00FD0122">
      <w:pPr>
        <w:pStyle w:val="ListParagraph"/>
      </w:pPr>
      <w:r>
        <w:t>4. Power of customers</w:t>
      </w:r>
    </w:p>
    <w:p w14:paraId="1AE10B44" w14:textId="4040AE86" w:rsidR="00C52D4A" w:rsidRDefault="00FD0122" w:rsidP="00C52D4A">
      <w:pPr>
        <w:pStyle w:val="ListParagraph"/>
      </w:pPr>
      <w:r>
        <w:t>5. Threat of substitute products</w:t>
      </w:r>
    </w:p>
    <w:p w14:paraId="0C742B1E" w14:textId="1E886B75" w:rsidR="00C52D4A" w:rsidRDefault="00C52D4A" w:rsidP="00C52D4A">
      <w:pPr>
        <w:pStyle w:val="ListParagraph"/>
        <w:numPr>
          <w:ilvl w:val="0"/>
          <w:numId w:val="11"/>
        </w:numPr>
      </w:pPr>
      <w:r>
        <w:t>____</w:t>
      </w:r>
    </w:p>
    <w:p w14:paraId="728F1D13" w14:textId="03E0B11E" w:rsidR="00C52D4A" w:rsidRDefault="00C52D4A" w:rsidP="00C52D4A">
      <w:pPr>
        <w:pStyle w:val="ListParagraph"/>
        <w:numPr>
          <w:ilvl w:val="0"/>
          <w:numId w:val="11"/>
        </w:numPr>
      </w:pPr>
      <w:r>
        <w:t>Stock splits: When company announces the split of a share it is known as stock split. The number of shares increases and the price of share decreases. For example, a two for one stock split.</w:t>
      </w:r>
    </w:p>
    <w:p w14:paraId="523524BB" w14:textId="77777777" w:rsidR="00C52D4A" w:rsidRDefault="00C52D4A" w:rsidP="00C52D4A">
      <w:pPr>
        <w:pStyle w:val="ListParagraph"/>
      </w:pPr>
      <w:r>
        <w:t>Reverse stock split: When company announces merging of shares it is known as reverse stock split. Number of shares decreases and price of share increases.</w:t>
      </w:r>
    </w:p>
    <w:p w14:paraId="4ADD8D86" w14:textId="77777777" w:rsidR="00C52D4A" w:rsidRDefault="00C52D4A" w:rsidP="00C52D4A">
      <w:pPr>
        <w:pStyle w:val="ListParagraph"/>
      </w:pPr>
      <w:r>
        <w:t>Share repurchase: When company decided to buy back its own shares it is known as share repurchase. It is also known as buyback.</w:t>
      </w:r>
    </w:p>
    <w:p w14:paraId="60962077" w14:textId="2E765D7B" w:rsidR="00C52D4A" w:rsidRDefault="00C52D4A" w:rsidP="00C52D4A">
      <w:pPr>
        <w:pStyle w:val="ListParagraph"/>
      </w:pPr>
      <w:r>
        <w:t>Cash dividend: Cash distribution made out to shareholders, typically paid out at regular known intervals.</w:t>
      </w:r>
    </w:p>
    <w:p w14:paraId="062EC60D" w14:textId="29BAFA84" w:rsidR="00C52D4A" w:rsidRDefault="00C52D4A" w:rsidP="00C52D4A">
      <w:pPr>
        <w:pStyle w:val="ListParagraph"/>
      </w:pPr>
      <w:r>
        <w:t>Extra dividends: Dividend paid out by company that does not pay out dividends. It is also known as special dividend.</w:t>
      </w:r>
    </w:p>
    <w:p w14:paraId="0529591F" w14:textId="0D73FD6F" w:rsidR="00C52D4A" w:rsidRDefault="00C52D4A" w:rsidP="00B05760">
      <w:pPr>
        <w:pStyle w:val="ListParagraph"/>
      </w:pPr>
      <w:r>
        <w:t xml:space="preserve">Stock dividends: A type of dividend where company </w:t>
      </w:r>
      <w:r w:rsidR="00B05760">
        <w:t>distributes additional shares to shareholders instead of cash. No economic effect. No effect on shareholders proportional ownership. No relevance for valuation. It is also known as bonus issue of shares.</w:t>
      </w:r>
    </w:p>
    <w:p w14:paraId="35CE428C" w14:textId="47DB5D21" w:rsidR="00B05760" w:rsidRDefault="00B05760" w:rsidP="00B05760">
      <w:pPr>
        <w:pStyle w:val="ListParagraph"/>
        <w:numPr>
          <w:ilvl w:val="0"/>
          <w:numId w:val="11"/>
        </w:numPr>
      </w:pPr>
      <w:r>
        <w:t>In practice, many analysts prefer to use a free-cash-flow-to-equity (FCFE) valuation model. These analysts assume that dividend-paying capacity should be reflected in the cash flow estimates rather than expected dividends. FCFE is a measure of dividend paying capacity. Analysts may also use FCFE valuation models for a non-dividend paying stock.</w:t>
      </w:r>
    </w:p>
    <w:p w14:paraId="55522189" w14:textId="2880A3FC" w:rsidR="00B05760" w:rsidRDefault="00B05760" w:rsidP="00B05760">
      <w:pPr>
        <w:pStyle w:val="ListParagraph"/>
      </w:pPr>
      <w:r>
        <w:lastRenderedPageBreak/>
        <w:t>The calculation of FCFE starts with the calculation of cash flow from operations (CFO). CFO is simply defined as net income plus non-cash expenses minus investment in working capital. FCFE is a measure of cash flow generated in a period that is available for distribution to common shareholders. What does “available for distribution” mean? The entire CFO is not available for distribution; the portion of the CFO needed for fixed capital investment (FCInv) during the period to maintain the value of the company as a going concern is not viewed as available for distribution to common shareholders. Net amounts borrowed (borrowings minus repayments) are considered to be available for distribution to common shareholders. Thus, FCFE can be expressed as,</w:t>
      </w:r>
    </w:p>
    <w:p w14:paraId="4590A323" w14:textId="6A1FC732" w:rsidR="00B05760" w:rsidRDefault="00B05760" w:rsidP="00B05760">
      <w:pPr>
        <w:pStyle w:val="ListParagraph"/>
      </w:pPr>
      <w:r>
        <w:t xml:space="preserve"> FCFE = CFO – FCInv + Net borrowing</w:t>
      </w:r>
    </w:p>
    <w:p w14:paraId="6029C265" w14:textId="1E1306C0" w:rsidR="00B05760" w:rsidRDefault="00CF3427" w:rsidP="00B05760">
      <w:pPr>
        <w:pStyle w:val="ListParagraph"/>
        <w:numPr>
          <w:ilvl w:val="0"/>
          <w:numId w:val="11"/>
        </w:numPr>
      </w:pPr>
      <w:r>
        <w:t>______</w:t>
      </w:r>
    </w:p>
    <w:p w14:paraId="5AF6BADB" w14:textId="296CE94A" w:rsidR="00CF3427" w:rsidRDefault="00CF3427" w:rsidP="00A23DAF">
      <w:pPr>
        <w:pStyle w:val="ListParagraph"/>
        <w:numPr>
          <w:ilvl w:val="0"/>
          <w:numId w:val="11"/>
        </w:numPr>
      </w:pPr>
      <w:r>
        <w:t xml:space="preserve"> EV</w:t>
      </w:r>
      <w:r w:rsidR="00A23DAF">
        <w:t>/EBITDA</w:t>
      </w:r>
      <w:r>
        <w:t>=</w:t>
      </w:r>
      <w:r w:rsidR="00352339">
        <w:br/>
      </w:r>
      <m:oMathPara>
        <m:oMath>
          <m:r>
            <w:rPr>
              <w:rFonts w:ascii="Cambria Math" w:hAnsi="Cambria Math"/>
            </w:rPr>
            <m:t>Market value of equity+Market value of prefernce+Market value of debt-cash and short term investments</m:t>
          </m:r>
          <m:r>
            <m:rPr>
              <m:sty m:val="p"/>
            </m:rPr>
            <w:rPr>
              <w:rFonts w:ascii="Cambria Math" w:hAnsi="Cambria Math"/>
            </w:rPr>
            <w:br/>
          </m:r>
        </m:oMath>
      </m:oMathPara>
      <w:r>
        <w:t xml:space="preserve">   </w:t>
      </w:r>
      <w:r w:rsidR="00352339">
        <w:t>__________________________________________________________________________</w:t>
      </w:r>
    </w:p>
    <w:p w14:paraId="53A95C31" w14:textId="77777777" w:rsidR="00C52D4A" w:rsidRDefault="00C52D4A" w:rsidP="00C52D4A">
      <w:pPr>
        <w:pStyle w:val="ListParagraph"/>
      </w:pPr>
    </w:p>
    <w:p w14:paraId="1E1BE9E4" w14:textId="41CDA9F9" w:rsidR="00C52D4A" w:rsidRPr="00352339" w:rsidRDefault="00352339" w:rsidP="00C52D4A">
      <w:pPr>
        <w:pStyle w:val="ListParagraph"/>
        <w:rPr>
          <w:rFonts w:eastAsiaTheme="minorEastAsia"/>
        </w:rPr>
      </w:pPr>
      <m:oMathPara>
        <m:oMath>
          <m:r>
            <w:rPr>
              <w:rFonts w:ascii="Cambria Math" w:hAnsi="Cambria Math"/>
            </w:rPr>
            <m:t>EBITDA</m:t>
          </m:r>
        </m:oMath>
      </m:oMathPara>
    </w:p>
    <w:p w14:paraId="006C9F37" w14:textId="77777777" w:rsidR="003D5140" w:rsidRPr="003D5140" w:rsidRDefault="003D5140" w:rsidP="003D5140">
      <w:pPr>
        <w:pStyle w:val="ListParagraph"/>
        <w:rPr>
          <w:rFonts w:cstheme="minorHAnsi"/>
        </w:rPr>
      </w:pPr>
      <w:r w:rsidRPr="003D5140">
        <w:rPr>
          <w:rFonts w:cstheme="minorHAnsi"/>
        </w:rPr>
        <w:t>Market value of equity= Stock price × No. of shares o/s= 50×160000=8000000</w:t>
      </w:r>
    </w:p>
    <w:p w14:paraId="6224C3AA" w14:textId="77777777" w:rsidR="003D5140" w:rsidRPr="003D5140" w:rsidRDefault="003D5140" w:rsidP="003D5140">
      <w:pPr>
        <w:pStyle w:val="ListParagraph"/>
        <w:rPr>
          <w:rFonts w:cstheme="minorHAnsi"/>
        </w:rPr>
      </w:pPr>
      <w:r w:rsidRPr="003D5140">
        <w:rPr>
          <w:rFonts w:cstheme="minorHAnsi"/>
        </w:rPr>
        <w:t xml:space="preserve"> Market value of long-term debt= $700000</w:t>
      </w:r>
    </w:p>
    <w:p w14:paraId="377343ED" w14:textId="55622496" w:rsidR="003D5140" w:rsidRPr="003D5140" w:rsidRDefault="003D5140" w:rsidP="003D5140">
      <w:pPr>
        <w:pStyle w:val="ListParagraph"/>
        <w:rPr>
          <w:rFonts w:cstheme="minorHAnsi"/>
        </w:rPr>
      </w:pPr>
      <w:r w:rsidRPr="003D5140">
        <w:rPr>
          <w:rFonts w:cstheme="minorHAnsi"/>
        </w:rPr>
        <w:t xml:space="preserve"> Book value of total debt</w:t>
      </w:r>
      <w:r>
        <w:rPr>
          <w:rFonts w:cstheme="minorHAnsi"/>
        </w:rPr>
        <w:t>= Book value of short term + Book value of long-term debt</w:t>
      </w:r>
    </w:p>
    <w:p w14:paraId="4D117D30" w14:textId="31B66553" w:rsidR="00352339" w:rsidRDefault="003D5140" w:rsidP="00352339">
      <w:pPr>
        <w:pStyle w:val="ListParagraph"/>
        <w:rPr>
          <w:rFonts w:cstheme="minorHAnsi"/>
        </w:rPr>
      </w:pPr>
      <w:r>
        <w:rPr>
          <w:rFonts w:ascii="Cambria Math" w:hAnsi="Cambria Math"/>
        </w:rPr>
        <w:t xml:space="preserve">               </w:t>
      </w:r>
      <w:r w:rsidRPr="003D5140">
        <w:rPr>
          <w:rFonts w:cstheme="minorHAnsi"/>
        </w:rPr>
        <w:t xml:space="preserve">    2100000                          </w:t>
      </w:r>
      <w:r>
        <w:rPr>
          <w:rFonts w:cstheme="minorHAnsi"/>
        </w:rPr>
        <w:t>= 1000000 + Book value of short-term debt</w:t>
      </w:r>
    </w:p>
    <w:p w14:paraId="3D59F4B3" w14:textId="4DFDEAF2" w:rsidR="003D5140" w:rsidRDefault="003D5140" w:rsidP="00352339">
      <w:pPr>
        <w:pStyle w:val="ListParagraph"/>
        <w:rPr>
          <w:rFonts w:cstheme="minorHAnsi"/>
        </w:rPr>
      </w:pPr>
      <w:r>
        <w:rPr>
          <w:rFonts w:cstheme="minorHAnsi"/>
        </w:rPr>
        <w:t>Book value of short-term debt= 1100000</w:t>
      </w:r>
    </w:p>
    <w:p w14:paraId="212B2E37" w14:textId="625D3DAC" w:rsidR="003D5140" w:rsidRDefault="003D5140" w:rsidP="00352339">
      <w:pPr>
        <w:pStyle w:val="ListParagraph"/>
        <w:rPr>
          <w:rFonts w:cstheme="minorHAnsi"/>
        </w:rPr>
      </w:pPr>
      <w:r>
        <w:rPr>
          <w:rFonts w:cstheme="minorHAnsi"/>
        </w:rPr>
        <w:t>Assume,</w:t>
      </w:r>
    </w:p>
    <w:p w14:paraId="2E13E5DF" w14:textId="1AAF075A" w:rsidR="003D5140" w:rsidRDefault="003D5140" w:rsidP="00352339">
      <w:pPr>
        <w:pStyle w:val="ListParagraph"/>
        <w:rPr>
          <w:rFonts w:cstheme="minorHAnsi"/>
        </w:rPr>
      </w:pPr>
      <w:r>
        <w:rPr>
          <w:rFonts w:cstheme="minorHAnsi"/>
        </w:rPr>
        <w:t>Book value of short-term debt= Market value of short-term debt</w:t>
      </w:r>
    </w:p>
    <w:p w14:paraId="7F701A16" w14:textId="79789AEE" w:rsidR="003D5140" w:rsidRDefault="003D5140" w:rsidP="00A23DAF">
      <w:pPr>
        <w:pStyle w:val="ListParagraph"/>
        <w:rPr>
          <w:rFonts w:cstheme="minorHAnsi"/>
        </w:rPr>
      </w:pPr>
      <w:r>
        <w:rPr>
          <w:rFonts w:cstheme="minorHAnsi"/>
        </w:rPr>
        <w:t>Market value of total debt=</w:t>
      </w:r>
      <w:r w:rsidR="00A23DAF">
        <w:rPr>
          <w:rFonts w:cstheme="minorHAnsi"/>
        </w:rPr>
        <w:t>1100000+700000=1800000</w:t>
      </w:r>
    </w:p>
    <w:p w14:paraId="22DCA282" w14:textId="39527A06" w:rsidR="00A23DAF" w:rsidRDefault="00A23DAF" w:rsidP="00A23DAF">
      <w:pPr>
        <w:pStyle w:val="ListParagraph"/>
        <w:rPr>
          <w:rFonts w:cstheme="minorHAnsi"/>
        </w:rPr>
      </w:pPr>
      <w:r>
        <w:rPr>
          <w:rFonts w:cstheme="minorHAnsi"/>
        </w:rPr>
        <w:t>EV/EBITDA= 8000000+1800000-200000/1000000</w:t>
      </w:r>
    </w:p>
    <w:p w14:paraId="6EA481DA" w14:textId="42643B3B" w:rsidR="00A23DAF" w:rsidRDefault="00A23DAF" w:rsidP="00A23DAF">
      <w:pPr>
        <w:pStyle w:val="ListParagraph"/>
        <w:rPr>
          <w:rFonts w:cstheme="minorHAnsi"/>
        </w:rPr>
      </w:pPr>
      <w:r>
        <w:rPr>
          <w:rFonts w:cstheme="minorHAnsi"/>
        </w:rPr>
        <w:t xml:space="preserve">                    =9.6 </w:t>
      </w:r>
    </w:p>
    <w:p w14:paraId="1A411662" w14:textId="16E2FDC3" w:rsidR="00A23DAF" w:rsidRPr="00A23DAF" w:rsidRDefault="00A23DAF" w:rsidP="00A23DAF">
      <w:pPr>
        <w:pStyle w:val="ListParagraph"/>
        <w:numPr>
          <w:ilvl w:val="0"/>
          <w:numId w:val="11"/>
        </w:numPr>
        <w:rPr>
          <w:rFonts w:cstheme="minorHAnsi"/>
        </w:rPr>
      </w:pPr>
      <w:r>
        <w:rPr>
          <w:rFonts w:cstheme="minorHAnsi"/>
        </w:rPr>
        <w:t xml:space="preserve">P/E= </w:t>
      </w:r>
      <w:r w:rsidRPr="00A23DAF">
        <w:rPr>
          <w:u w:val="single"/>
        </w:rPr>
        <w:t>D/E</w:t>
      </w:r>
    </w:p>
    <w:p w14:paraId="1D2DE521" w14:textId="37F4F07B" w:rsidR="00A23DAF" w:rsidRPr="00A23DAF" w:rsidRDefault="00A23DAF" w:rsidP="00A23DAF">
      <w:pPr>
        <w:pStyle w:val="ListParagraph"/>
        <w:rPr>
          <w:rFonts w:cstheme="minorHAnsi"/>
        </w:rPr>
      </w:pPr>
      <w:r>
        <w:rPr>
          <w:rFonts w:cstheme="minorHAnsi"/>
        </w:rPr>
        <w:t xml:space="preserve">          r-g</w:t>
      </w:r>
    </w:p>
    <w:p w14:paraId="2CF70759" w14:textId="6DEE9EAE" w:rsidR="00A23DAF" w:rsidRDefault="00A23DAF" w:rsidP="00A23DAF">
      <w:pPr>
        <w:pStyle w:val="ListParagraph"/>
        <w:rPr>
          <w:rFonts w:cstheme="minorHAnsi"/>
        </w:rPr>
      </w:pPr>
      <w:r>
        <w:rPr>
          <w:rFonts w:cstheme="minorHAnsi"/>
        </w:rPr>
        <w:t xml:space="preserve">      =40%/ (12%-4%)</w:t>
      </w:r>
    </w:p>
    <w:p w14:paraId="652595BF" w14:textId="18FA1D55" w:rsidR="00A23DAF" w:rsidRDefault="00A23DAF" w:rsidP="00A23DAF">
      <w:pPr>
        <w:pStyle w:val="ListParagraph"/>
        <w:rPr>
          <w:rFonts w:cstheme="minorHAnsi"/>
        </w:rPr>
      </w:pPr>
      <w:r>
        <w:rPr>
          <w:rFonts w:cstheme="minorHAnsi"/>
        </w:rPr>
        <w:t xml:space="preserve">      =</w:t>
      </w:r>
      <w:r w:rsidR="006477EC">
        <w:rPr>
          <w:rFonts w:cstheme="minorHAnsi"/>
        </w:rPr>
        <w:t>5</w:t>
      </w:r>
    </w:p>
    <w:p w14:paraId="4E44050B" w14:textId="2282558F" w:rsidR="006477EC" w:rsidRDefault="006477EC" w:rsidP="00A23DAF">
      <w:pPr>
        <w:pStyle w:val="ListParagraph"/>
        <w:rPr>
          <w:rFonts w:cstheme="minorHAnsi"/>
        </w:rPr>
      </w:pPr>
    </w:p>
    <w:p w14:paraId="7D190B43" w14:textId="44D21202" w:rsidR="006477EC" w:rsidRDefault="006477EC" w:rsidP="00A23DAF">
      <w:pPr>
        <w:pStyle w:val="ListParagraph"/>
        <w:rPr>
          <w:rFonts w:cstheme="minorHAnsi"/>
        </w:rPr>
      </w:pPr>
    </w:p>
    <w:p w14:paraId="4A09BC8E" w14:textId="729367A7" w:rsidR="006477EC" w:rsidRDefault="006477EC" w:rsidP="00A23DAF">
      <w:pPr>
        <w:pStyle w:val="ListParagraph"/>
        <w:rPr>
          <w:rFonts w:cstheme="minorHAnsi"/>
        </w:rPr>
      </w:pPr>
    </w:p>
    <w:p w14:paraId="1BFC6A3B" w14:textId="3D8416F3" w:rsidR="006477EC" w:rsidRDefault="006477EC" w:rsidP="00A23DAF">
      <w:pPr>
        <w:pStyle w:val="ListParagraph"/>
        <w:rPr>
          <w:rFonts w:cstheme="minorHAnsi"/>
        </w:rPr>
      </w:pPr>
    </w:p>
    <w:p w14:paraId="0F7146FD" w14:textId="07BD222B" w:rsidR="006477EC" w:rsidRDefault="006477EC" w:rsidP="00A23DAF">
      <w:pPr>
        <w:pStyle w:val="ListParagraph"/>
        <w:rPr>
          <w:rFonts w:cstheme="minorHAnsi"/>
        </w:rPr>
      </w:pPr>
    </w:p>
    <w:p w14:paraId="7DD47F51" w14:textId="5C25535D" w:rsidR="006477EC" w:rsidRDefault="006477EC" w:rsidP="00A23DAF">
      <w:pPr>
        <w:pStyle w:val="ListParagraph"/>
        <w:rPr>
          <w:rFonts w:cstheme="minorHAnsi"/>
        </w:rPr>
      </w:pPr>
    </w:p>
    <w:p w14:paraId="1EFC0A41" w14:textId="46220F91" w:rsidR="006477EC" w:rsidRDefault="006477EC" w:rsidP="00A23DAF">
      <w:pPr>
        <w:pStyle w:val="ListParagraph"/>
        <w:rPr>
          <w:rFonts w:cstheme="minorHAnsi"/>
        </w:rPr>
      </w:pPr>
    </w:p>
    <w:p w14:paraId="23BC111C" w14:textId="00E91413" w:rsidR="006477EC" w:rsidRDefault="006477EC" w:rsidP="00A23DAF">
      <w:pPr>
        <w:pStyle w:val="ListParagraph"/>
        <w:rPr>
          <w:rFonts w:cstheme="minorHAnsi"/>
        </w:rPr>
      </w:pPr>
    </w:p>
    <w:p w14:paraId="08B3D986" w14:textId="76AC9B21" w:rsidR="006477EC" w:rsidRDefault="006477EC" w:rsidP="00A23DAF">
      <w:pPr>
        <w:pStyle w:val="ListParagraph"/>
        <w:rPr>
          <w:rFonts w:cstheme="minorHAnsi"/>
        </w:rPr>
      </w:pPr>
    </w:p>
    <w:p w14:paraId="56C84832" w14:textId="5C868A7E" w:rsidR="006477EC" w:rsidRDefault="006477EC" w:rsidP="00A23DAF">
      <w:pPr>
        <w:pStyle w:val="ListParagraph"/>
        <w:rPr>
          <w:rFonts w:cstheme="minorHAnsi"/>
        </w:rPr>
      </w:pPr>
    </w:p>
    <w:p w14:paraId="307BE5EE" w14:textId="1C30B35B" w:rsidR="006477EC" w:rsidRDefault="006477EC" w:rsidP="00A23DAF">
      <w:pPr>
        <w:pStyle w:val="ListParagraph"/>
        <w:rPr>
          <w:rFonts w:cstheme="minorHAnsi"/>
        </w:rPr>
      </w:pPr>
    </w:p>
    <w:p w14:paraId="135D6003" w14:textId="0038FE2E" w:rsidR="006477EC" w:rsidRDefault="006477EC" w:rsidP="00A23DAF">
      <w:pPr>
        <w:pStyle w:val="ListParagraph"/>
        <w:rPr>
          <w:rFonts w:cstheme="minorHAnsi"/>
        </w:rPr>
      </w:pPr>
    </w:p>
    <w:p w14:paraId="257BC8D6" w14:textId="18D46DF9" w:rsidR="006477EC" w:rsidRDefault="006477EC" w:rsidP="00A23DAF">
      <w:pPr>
        <w:pStyle w:val="ListParagraph"/>
        <w:rPr>
          <w:rFonts w:cstheme="minorHAnsi"/>
        </w:rPr>
      </w:pPr>
    </w:p>
    <w:p w14:paraId="288B9C1C" w14:textId="0EF0AFEC" w:rsidR="006477EC" w:rsidRDefault="006477EC" w:rsidP="00A23DAF">
      <w:pPr>
        <w:pStyle w:val="ListParagraph"/>
        <w:rPr>
          <w:rFonts w:cstheme="minorHAnsi"/>
        </w:rPr>
      </w:pPr>
    </w:p>
    <w:p w14:paraId="4299AABB" w14:textId="1C37920A" w:rsidR="006477EC" w:rsidRDefault="006477EC" w:rsidP="00A23DAF">
      <w:pPr>
        <w:pStyle w:val="ListParagraph"/>
        <w:rPr>
          <w:rFonts w:cstheme="minorHAnsi"/>
        </w:rPr>
      </w:pPr>
    </w:p>
    <w:p w14:paraId="1AEA55C3" w14:textId="2AE8E24C" w:rsidR="006477EC" w:rsidRDefault="006477EC" w:rsidP="00A23DAF">
      <w:pPr>
        <w:pStyle w:val="ListParagraph"/>
        <w:rPr>
          <w:rFonts w:cstheme="minorHAnsi"/>
        </w:rPr>
      </w:pPr>
    </w:p>
    <w:p w14:paraId="433E49E3" w14:textId="47A55FDB" w:rsidR="006477EC" w:rsidRDefault="006477EC" w:rsidP="00A23DAF">
      <w:pPr>
        <w:pStyle w:val="ListParagraph"/>
        <w:rPr>
          <w:rFonts w:cstheme="minorHAnsi"/>
        </w:rPr>
      </w:pPr>
    </w:p>
    <w:p w14:paraId="2E5B3EF5" w14:textId="7D8B1424" w:rsidR="006477EC" w:rsidRDefault="006477EC" w:rsidP="00A23DAF">
      <w:pPr>
        <w:pStyle w:val="ListParagraph"/>
        <w:rPr>
          <w:rFonts w:cstheme="minorHAnsi"/>
        </w:rPr>
      </w:pPr>
    </w:p>
    <w:p w14:paraId="5B90B2CC" w14:textId="5928108D" w:rsidR="006477EC" w:rsidRDefault="006477EC" w:rsidP="00A23DAF">
      <w:pPr>
        <w:pStyle w:val="ListParagraph"/>
        <w:rPr>
          <w:rFonts w:cstheme="minorHAnsi"/>
        </w:rPr>
      </w:pPr>
    </w:p>
    <w:p w14:paraId="710FE642" w14:textId="0A01678B" w:rsidR="006477EC" w:rsidRDefault="006477EC" w:rsidP="00A23DAF">
      <w:pPr>
        <w:pStyle w:val="ListParagraph"/>
        <w:rPr>
          <w:rFonts w:cstheme="minorHAnsi"/>
        </w:rPr>
      </w:pPr>
    </w:p>
    <w:p w14:paraId="3C344705" w14:textId="103611D6" w:rsidR="00A23DAF" w:rsidRDefault="006477EC" w:rsidP="006477EC">
      <w:pPr>
        <w:pStyle w:val="ListParagraph"/>
        <w:jc w:val="center"/>
        <w:rPr>
          <w:rFonts w:cstheme="minorHAnsi"/>
        </w:rPr>
      </w:pPr>
      <w:r>
        <w:rPr>
          <w:rFonts w:cstheme="minorHAnsi"/>
        </w:rPr>
        <w:t>UNIT- 3</w:t>
      </w:r>
    </w:p>
    <w:p w14:paraId="0556EE67" w14:textId="0D59F698" w:rsidR="006477EC" w:rsidRDefault="006477EC" w:rsidP="006477EC">
      <w:pPr>
        <w:rPr>
          <w:rFonts w:cstheme="minorHAnsi"/>
        </w:rPr>
      </w:pPr>
    </w:p>
    <w:p w14:paraId="4F55D433" w14:textId="6E2C8B7F" w:rsidR="006477EC" w:rsidRDefault="006477EC" w:rsidP="006477EC">
      <w:pPr>
        <w:pStyle w:val="ListParagraph"/>
        <w:numPr>
          <w:ilvl w:val="0"/>
          <w:numId w:val="15"/>
        </w:numPr>
        <w:rPr>
          <w:rFonts w:cstheme="minorHAnsi"/>
        </w:rPr>
      </w:pPr>
      <w:proofErr w:type="spellStart"/>
      <w:r>
        <w:rPr>
          <w:rFonts w:cstheme="minorHAnsi"/>
        </w:rPr>
        <w:t>Cov</w:t>
      </w:r>
      <w:proofErr w:type="spellEnd"/>
      <w:r>
        <w:rPr>
          <w:rFonts w:cstheme="minorHAnsi"/>
        </w:rPr>
        <w:t>(</w:t>
      </w:r>
      <w:proofErr w:type="spellStart"/>
      <w:proofErr w:type="gramStart"/>
      <w:r>
        <w:rPr>
          <w:rFonts w:cstheme="minorHAnsi"/>
        </w:rPr>
        <w:t>p,q</w:t>
      </w:r>
      <w:proofErr w:type="spellEnd"/>
      <w:proofErr w:type="gramEnd"/>
      <w:r>
        <w:rPr>
          <w:rFonts w:cstheme="minorHAnsi"/>
        </w:rPr>
        <w:t>)= Sp×Sq×0.5= 250%%</w:t>
      </w:r>
    </w:p>
    <w:p w14:paraId="3DF08325" w14:textId="33613185" w:rsidR="006477EC" w:rsidRDefault="006477EC" w:rsidP="006477EC">
      <w:pPr>
        <w:pStyle w:val="ListParagraph"/>
        <w:ind w:left="786"/>
        <w:rPr>
          <w:rFonts w:cstheme="minorHAnsi"/>
        </w:rPr>
      </w:pPr>
      <w:proofErr w:type="spellStart"/>
      <w:r>
        <w:rPr>
          <w:rFonts w:cstheme="minorHAnsi"/>
        </w:rPr>
        <w:t>Wp</w:t>
      </w:r>
      <w:proofErr w:type="spellEnd"/>
      <w:proofErr w:type="gramStart"/>
      <w:r>
        <w:rPr>
          <w:rFonts w:cstheme="minorHAnsi"/>
        </w:rPr>
        <w:t>=[</w:t>
      </w:r>
      <w:proofErr w:type="gramEnd"/>
      <w:r>
        <w:rPr>
          <w:rFonts w:cstheme="minorHAnsi"/>
        </w:rPr>
        <w:t xml:space="preserve">Sq^2- </w:t>
      </w:r>
      <w:proofErr w:type="spellStart"/>
      <w:r>
        <w:rPr>
          <w:rFonts w:cstheme="minorHAnsi"/>
        </w:rPr>
        <w:t>cov</w:t>
      </w:r>
      <w:proofErr w:type="spellEnd"/>
      <w:r>
        <w:rPr>
          <w:rFonts w:cstheme="minorHAnsi"/>
        </w:rPr>
        <w:t>(</w:t>
      </w:r>
      <w:proofErr w:type="spellStart"/>
      <w:r>
        <w:rPr>
          <w:rFonts w:cstheme="minorHAnsi"/>
        </w:rPr>
        <w:t>p,q</w:t>
      </w:r>
      <w:proofErr w:type="spellEnd"/>
      <w:r>
        <w:rPr>
          <w:rFonts w:cstheme="minorHAnsi"/>
        </w:rPr>
        <w:t>)]/[Sp^2+Sq^2-2cov(</w:t>
      </w:r>
      <w:proofErr w:type="spellStart"/>
      <w:r>
        <w:rPr>
          <w:rFonts w:cstheme="minorHAnsi"/>
        </w:rPr>
        <w:t>p,q</w:t>
      </w:r>
      <w:proofErr w:type="spellEnd"/>
      <w:r>
        <w:rPr>
          <w:rFonts w:cstheme="minorHAnsi"/>
        </w:rPr>
        <w:t>)]=0.7</w:t>
      </w:r>
      <w:r w:rsidR="00E63745">
        <w:rPr>
          <w:rFonts w:cstheme="minorHAnsi"/>
        </w:rPr>
        <w:t>14285=71.429%</w:t>
      </w:r>
    </w:p>
    <w:p w14:paraId="32B58A24" w14:textId="55126633" w:rsidR="00E63745" w:rsidRDefault="00E63745" w:rsidP="006477EC">
      <w:pPr>
        <w:pStyle w:val="ListParagraph"/>
        <w:ind w:left="786"/>
        <w:rPr>
          <w:rFonts w:cstheme="minorHAnsi"/>
        </w:rPr>
      </w:pPr>
      <w:proofErr w:type="spellStart"/>
      <w:r>
        <w:rPr>
          <w:rFonts w:cstheme="minorHAnsi"/>
        </w:rPr>
        <w:t>Wq</w:t>
      </w:r>
      <w:proofErr w:type="spellEnd"/>
      <w:r>
        <w:rPr>
          <w:rFonts w:cstheme="minorHAnsi"/>
        </w:rPr>
        <w:t>=1-Wp=28.571%</w:t>
      </w:r>
    </w:p>
    <w:p w14:paraId="3DE787CC" w14:textId="68B5DF38" w:rsidR="00E63745" w:rsidRDefault="00E63745" w:rsidP="00E63745">
      <w:pPr>
        <w:pStyle w:val="ListParagraph"/>
        <w:numPr>
          <w:ilvl w:val="0"/>
          <w:numId w:val="15"/>
        </w:numPr>
        <w:rPr>
          <w:rFonts w:cstheme="minorHAnsi"/>
        </w:rPr>
      </w:pPr>
      <w:proofErr w:type="spellStart"/>
      <w:r>
        <w:rPr>
          <w:rFonts w:cstheme="minorHAnsi"/>
        </w:rPr>
        <w:t>Wl</w:t>
      </w:r>
      <w:proofErr w:type="spellEnd"/>
      <w:r>
        <w:rPr>
          <w:rFonts w:cstheme="minorHAnsi"/>
        </w:rPr>
        <w:t>=</w:t>
      </w:r>
      <w:proofErr w:type="spellStart"/>
      <w:r>
        <w:rPr>
          <w:rFonts w:cstheme="minorHAnsi"/>
        </w:rPr>
        <w:t>Sm</w:t>
      </w:r>
      <w:proofErr w:type="spellEnd"/>
      <w:r>
        <w:rPr>
          <w:rFonts w:cstheme="minorHAnsi"/>
        </w:rPr>
        <w:t>/</w:t>
      </w:r>
      <w:proofErr w:type="spellStart"/>
      <w:r>
        <w:rPr>
          <w:rFonts w:cstheme="minorHAnsi"/>
        </w:rPr>
        <w:t>Sl+Sm</w:t>
      </w:r>
      <w:proofErr w:type="spellEnd"/>
      <w:r>
        <w:rPr>
          <w:rFonts w:cstheme="minorHAnsi"/>
        </w:rPr>
        <w:t>= 18%/15%+18%=</w:t>
      </w:r>
      <w:r w:rsidR="00D32460">
        <w:rPr>
          <w:rFonts w:cstheme="minorHAnsi"/>
        </w:rPr>
        <w:t>54.545%</w:t>
      </w:r>
    </w:p>
    <w:p w14:paraId="69F3F952" w14:textId="3AE79FD4" w:rsidR="00D32460" w:rsidRDefault="00D32460" w:rsidP="00D32460">
      <w:pPr>
        <w:pStyle w:val="ListParagraph"/>
        <w:ind w:left="786"/>
        <w:rPr>
          <w:rFonts w:cstheme="minorHAnsi"/>
        </w:rPr>
      </w:pPr>
      <w:r>
        <w:rPr>
          <w:rFonts w:cstheme="minorHAnsi"/>
        </w:rPr>
        <w:t>Wm=1-Wl=45.455%</w:t>
      </w:r>
    </w:p>
    <w:p w14:paraId="62EB5723" w14:textId="167A1E6D" w:rsidR="00D32460" w:rsidRDefault="00D32460" w:rsidP="00D32460">
      <w:pPr>
        <w:pStyle w:val="ListParagraph"/>
        <w:numPr>
          <w:ilvl w:val="0"/>
          <w:numId w:val="15"/>
        </w:numPr>
        <w:rPr>
          <w:rFonts w:cstheme="minorHAnsi"/>
        </w:rPr>
      </w:pPr>
      <w:r>
        <w:rPr>
          <w:rFonts w:cstheme="minorHAnsi"/>
        </w:rPr>
        <w:t>E[Rp]=</w:t>
      </w:r>
      <w:proofErr w:type="spellStart"/>
      <w:proofErr w:type="gramStart"/>
      <w:r>
        <w:rPr>
          <w:rFonts w:cstheme="minorHAnsi"/>
        </w:rPr>
        <w:t>WaE</w:t>
      </w:r>
      <w:proofErr w:type="spellEnd"/>
      <w:r>
        <w:rPr>
          <w:rFonts w:cstheme="minorHAnsi"/>
        </w:rPr>
        <w:t>[</w:t>
      </w:r>
      <w:proofErr w:type="gramEnd"/>
      <w:r>
        <w:rPr>
          <w:rFonts w:cstheme="minorHAnsi"/>
        </w:rPr>
        <w:t>Ra]+</w:t>
      </w:r>
      <w:proofErr w:type="spellStart"/>
      <w:r>
        <w:rPr>
          <w:rFonts w:cstheme="minorHAnsi"/>
        </w:rPr>
        <w:t>WbE</w:t>
      </w:r>
      <w:proofErr w:type="spellEnd"/>
      <w:r>
        <w:rPr>
          <w:rFonts w:cstheme="minorHAnsi"/>
        </w:rPr>
        <w:t>[Rb]=</w:t>
      </w:r>
      <w:proofErr w:type="spellStart"/>
      <w:r>
        <w:rPr>
          <w:rFonts w:cstheme="minorHAnsi"/>
        </w:rPr>
        <w:t>WcE</w:t>
      </w:r>
      <w:proofErr w:type="spellEnd"/>
      <w:r>
        <w:rPr>
          <w:rFonts w:cstheme="minorHAnsi"/>
        </w:rPr>
        <w:t>[</w:t>
      </w:r>
      <w:proofErr w:type="spellStart"/>
      <w:r>
        <w:rPr>
          <w:rFonts w:cstheme="minorHAnsi"/>
        </w:rPr>
        <w:t>Rc</w:t>
      </w:r>
      <w:proofErr w:type="spellEnd"/>
      <w:r>
        <w:rPr>
          <w:rFonts w:cstheme="minorHAnsi"/>
        </w:rPr>
        <w:t>]=1/3×(27+24+22)=24.33</w:t>
      </w:r>
    </w:p>
    <w:p w14:paraId="65EDED93" w14:textId="4BCFD703" w:rsidR="00D32460" w:rsidRDefault="00D32460" w:rsidP="00D32460">
      <w:pPr>
        <w:pStyle w:val="ListParagraph"/>
        <w:ind w:left="786"/>
        <w:rPr>
          <w:rFonts w:cstheme="minorHAnsi"/>
        </w:rPr>
      </w:pPr>
      <w:proofErr w:type="spellStart"/>
      <w:r>
        <w:rPr>
          <w:rFonts w:cstheme="minorHAnsi"/>
        </w:rPr>
        <w:t>Varp</w:t>
      </w:r>
      <w:proofErr w:type="spellEnd"/>
      <w:r>
        <w:rPr>
          <w:rFonts w:cstheme="minorHAnsi"/>
        </w:rPr>
        <w:t>=471.39109%%</w:t>
      </w:r>
    </w:p>
    <w:p w14:paraId="7F7871E4" w14:textId="62C2D86D" w:rsidR="00D32460" w:rsidRPr="00D32460" w:rsidRDefault="00D32460" w:rsidP="00D32460">
      <w:pPr>
        <w:pStyle w:val="ListParagraph"/>
        <w:ind w:left="786"/>
        <w:rPr>
          <w:rFonts w:cstheme="minorHAnsi"/>
        </w:rPr>
      </w:pPr>
      <w:r>
        <w:rPr>
          <w:rFonts w:cstheme="minorHAnsi"/>
        </w:rPr>
        <w:t>Risk=sigma p= 21.711543%%</w:t>
      </w:r>
    </w:p>
    <w:p w14:paraId="13618C5D" w14:textId="0082BF93" w:rsidR="00E63745" w:rsidRPr="006477EC" w:rsidRDefault="00E63745" w:rsidP="00E63745">
      <w:pPr>
        <w:pStyle w:val="ListParagraph"/>
        <w:ind w:left="786"/>
        <w:rPr>
          <w:rFonts w:cstheme="minorHAnsi"/>
        </w:rPr>
      </w:pPr>
      <w:r>
        <w:rPr>
          <w:rFonts w:cstheme="minorHAnsi"/>
        </w:rPr>
        <w:t xml:space="preserve">      </w:t>
      </w:r>
    </w:p>
    <w:sectPr w:rsidR="00E63745" w:rsidRPr="00647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70F4"/>
    <w:multiLevelType w:val="hybridMultilevel"/>
    <w:tmpl w:val="26FE4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901C6"/>
    <w:multiLevelType w:val="hybridMultilevel"/>
    <w:tmpl w:val="41F0024E"/>
    <w:lvl w:ilvl="0" w:tplc="08090011">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F57DB"/>
    <w:multiLevelType w:val="hybridMultilevel"/>
    <w:tmpl w:val="A9E2B3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548C8"/>
    <w:multiLevelType w:val="hybridMultilevel"/>
    <w:tmpl w:val="D43E001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96396"/>
    <w:multiLevelType w:val="hybridMultilevel"/>
    <w:tmpl w:val="5FC473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862049"/>
    <w:multiLevelType w:val="hybridMultilevel"/>
    <w:tmpl w:val="FD2295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4C131B"/>
    <w:multiLevelType w:val="hybridMultilevel"/>
    <w:tmpl w:val="5A5879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82A0B57"/>
    <w:multiLevelType w:val="hybridMultilevel"/>
    <w:tmpl w:val="5DE69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743C3"/>
    <w:multiLevelType w:val="hybridMultilevel"/>
    <w:tmpl w:val="B4745D3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EF94CC0"/>
    <w:multiLevelType w:val="hybridMultilevel"/>
    <w:tmpl w:val="F41C917C"/>
    <w:lvl w:ilvl="0" w:tplc="08090011">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944774"/>
    <w:multiLevelType w:val="hybridMultilevel"/>
    <w:tmpl w:val="C608B3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DA64203"/>
    <w:multiLevelType w:val="hybridMultilevel"/>
    <w:tmpl w:val="7DA824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364CB"/>
    <w:multiLevelType w:val="hybridMultilevel"/>
    <w:tmpl w:val="0F36F6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BA6EAF"/>
    <w:multiLevelType w:val="hybridMultilevel"/>
    <w:tmpl w:val="0436C8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B607284"/>
    <w:multiLevelType w:val="hybridMultilevel"/>
    <w:tmpl w:val="F2F2EFE2"/>
    <w:lvl w:ilvl="0" w:tplc="08090011">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2"/>
  </w:num>
  <w:num w:numId="4">
    <w:abstractNumId w:val="3"/>
  </w:num>
  <w:num w:numId="5">
    <w:abstractNumId w:val="7"/>
  </w:num>
  <w:num w:numId="6">
    <w:abstractNumId w:val="5"/>
  </w:num>
  <w:num w:numId="7">
    <w:abstractNumId w:val="0"/>
  </w:num>
  <w:num w:numId="8">
    <w:abstractNumId w:val="13"/>
  </w:num>
  <w:num w:numId="9">
    <w:abstractNumId w:val="4"/>
  </w:num>
  <w:num w:numId="10">
    <w:abstractNumId w:val="8"/>
  </w:num>
  <w:num w:numId="11">
    <w:abstractNumId w:val="1"/>
  </w:num>
  <w:num w:numId="12">
    <w:abstractNumId w:val="6"/>
  </w:num>
  <w:num w:numId="13">
    <w:abstractNumId w:val="10"/>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D2"/>
    <w:rsid w:val="00130921"/>
    <w:rsid w:val="00280E3D"/>
    <w:rsid w:val="00294CE3"/>
    <w:rsid w:val="00307D77"/>
    <w:rsid w:val="00352339"/>
    <w:rsid w:val="003D5140"/>
    <w:rsid w:val="006477EC"/>
    <w:rsid w:val="006E32D2"/>
    <w:rsid w:val="00A23DAF"/>
    <w:rsid w:val="00B05760"/>
    <w:rsid w:val="00C52D4A"/>
    <w:rsid w:val="00CF3427"/>
    <w:rsid w:val="00D32460"/>
    <w:rsid w:val="00D57B3D"/>
    <w:rsid w:val="00E443F0"/>
    <w:rsid w:val="00E63745"/>
    <w:rsid w:val="00EC0D83"/>
    <w:rsid w:val="00FD0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C181"/>
  <w15:chartTrackingRefBased/>
  <w15:docId w15:val="{5C7A7E4C-E484-4067-9D57-40F5135A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2D2"/>
    <w:pPr>
      <w:ind w:left="720"/>
      <w:contextualSpacing/>
    </w:pPr>
  </w:style>
  <w:style w:type="table" w:styleId="TableGrid">
    <w:name w:val="Table Grid"/>
    <w:basedOn w:val="TableNormal"/>
    <w:uiPriority w:val="39"/>
    <w:rsid w:val="00EC0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34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F4DE-E274-4AA5-A8C4-C5E18442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2</cp:revision>
  <dcterms:created xsi:type="dcterms:W3CDTF">2021-09-17T11:45:00Z</dcterms:created>
  <dcterms:modified xsi:type="dcterms:W3CDTF">2021-09-17T11:45:00Z</dcterms:modified>
</cp:coreProperties>
</file>