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444" w:rsidRDefault="00DB4444" w:rsidP="00296D3B">
      <w:pPr>
        <w:outlineLvl w:val="0"/>
      </w:pPr>
      <w:r>
        <w:t xml:space="preserve">ASSIGNMENT </w:t>
      </w:r>
    </w:p>
    <w:p w:rsidR="00DB4444" w:rsidRDefault="00DB4444" w:rsidP="00296D3B">
      <w:pPr>
        <w:outlineLvl w:val="0"/>
      </w:pPr>
      <w:r>
        <w:t>Risk Management and Investment Management -2</w:t>
      </w:r>
    </w:p>
    <w:p w:rsidR="00DB4444" w:rsidRDefault="00DB4444" w:rsidP="00DB4444">
      <w:r>
        <w:t>Roll no: 710</w:t>
      </w:r>
    </w:p>
    <w:p w:rsidR="00DB4444" w:rsidRDefault="00DB4444" w:rsidP="00DB4444">
      <w:r>
        <w:t xml:space="preserve">Name: </w:t>
      </w:r>
      <w:proofErr w:type="spellStart"/>
      <w:r>
        <w:t>Drishti</w:t>
      </w:r>
      <w:proofErr w:type="spellEnd"/>
      <w:r>
        <w:t xml:space="preserve"> </w:t>
      </w:r>
      <w:proofErr w:type="spellStart"/>
      <w:r>
        <w:t>Chulani</w:t>
      </w:r>
      <w:proofErr w:type="spellEnd"/>
      <w:r>
        <w:t xml:space="preserve"> </w:t>
      </w:r>
    </w:p>
    <w:p w:rsidR="00DB4444" w:rsidRDefault="00DB4444" w:rsidP="00DB4444"/>
    <w:p w:rsidR="00DB4444" w:rsidRDefault="00DB4444" w:rsidP="00296D3B">
      <w:pPr>
        <w:outlineLvl w:val="0"/>
      </w:pPr>
      <w:r>
        <w:t xml:space="preserve">Q1 </w:t>
      </w:r>
    </w:p>
    <w:p w:rsidR="00463295" w:rsidRDefault="00DB4444" w:rsidP="00DB4444">
      <w:r>
        <w:t>(</w:t>
      </w:r>
      <w:proofErr w:type="spellStart"/>
      <w:r>
        <w:t>i</w:t>
      </w:r>
      <w:proofErr w:type="spellEnd"/>
      <w:r>
        <w:t xml:space="preserve">) They are normally </w:t>
      </w:r>
      <w:proofErr w:type="spellStart"/>
      <w:r>
        <w:t>analysed</w:t>
      </w:r>
      <w:proofErr w:type="spellEnd"/>
      <w:r>
        <w:t xml:space="preserve"> in industry grouping because this provi</w:t>
      </w:r>
      <w:r w:rsidR="00463295">
        <w:t xml:space="preserve">des an assessment on the whole </w:t>
      </w:r>
      <w:r>
        <w:t>particular sector. Sector Analysis Understands the</w:t>
      </w:r>
      <w:r w:rsidR="00463295">
        <w:t xml:space="preserve"> </w:t>
      </w:r>
      <w:r>
        <w:t>econ</w:t>
      </w:r>
      <w:r w:rsidR="00463295">
        <w:t>omic &amp; financial condition</w:t>
      </w:r>
    </w:p>
    <w:p w:rsidR="00DB4444" w:rsidRDefault="00DB4444" w:rsidP="00DB4444">
      <w:r>
        <w:t xml:space="preserve">- The factors affecting on company within </w:t>
      </w:r>
      <w:proofErr w:type="gramStart"/>
      <w:r>
        <w:t>an are</w:t>
      </w:r>
      <w:proofErr w:type="gramEnd"/>
      <w:r>
        <w:t xml:space="preserve"> likely industry. </w:t>
      </w:r>
      <w:proofErr w:type="gramStart"/>
      <w:r>
        <w:t>do</w:t>
      </w:r>
      <w:proofErr w:type="gramEnd"/>
      <w:r>
        <w:t xml:space="preserve"> be relevant to other companies in the came industry like resources, high correlation markets, structure. There is</w:t>
      </w:r>
      <w:r w:rsidR="00F627F1">
        <w:t xml:space="preserve"> a high correlation.</w:t>
      </w:r>
    </w:p>
    <w:p w:rsidR="00DB4444" w:rsidRDefault="00DB4444" w:rsidP="00DB4444"/>
    <w:p w:rsidR="00F627F1" w:rsidRDefault="00F627F1" w:rsidP="00DB4444">
      <w:r>
        <w:t xml:space="preserve">(ii) </w:t>
      </w:r>
    </w:p>
    <w:p w:rsidR="00F627F1" w:rsidRDefault="00DB4444" w:rsidP="00F627F1">
      <w:pPr>
        <w:pStyle w:val="ListParagraph"/>
        <w:numPr>
          <w:ilvl w:val="0"/>
          <w:numId w:val="1"/>
        </w:numPr>
      </w:pPr>
      <w:r>
        <w:t>Advantage of industry groupings, -</w:t>
      </w:r>
    </w:p>
    <w:p w:rsidR="00DB4444" w:rsidRDefault="00DB4444" w:rsidP="00F627F1">
      <w:pPr>
        <w:pStyle w:val="ListParagraph"/>
        <w:numPr>
          <w:ilvl w:val="0"/>
          <w:numId w:val="2"/>
        </w:numPr>
      </w:pPr>
      <w:r>
        <w:t>Can become expert one</w:t>
      </w:r>
      <w:r w:rsidR="00F627F1">
        <w:t xml:space="preserve"> sector &amp; understanding it very well.</w:t>
      </w:r>
    </w:p>
    <w:p w:rsidR="00F627F1" w:rsidRDefault="00DB4444" w:rsidP="00DB4444">
      <w:pPr>
        <w:pStyle w:val="ListParagraph"/>
        <w:numPr>
          <w:ilvl w:val="0"/>
          <w:numId w:val="2"/>
        </w:numPr>
      </w:pPr>
      <w:r>
        <w:t>Can decide which facto</w:t>
      </w:r>
      <w:r w:rsidR="00F627F1">
        <w:t>rs can affect which industries</w:t>
      </w:r>
      <w:r>
        <w:t xml:space="preserve"> share price</w:t>
      </w:r>
      <w:r w:rsidR="00F627F1">
        <w:t>.</w:t>
      </w:r>
    </w:p>
    <w:p w:rsidR="00F627F1" w:rsidRDefault="00DB4444" w:rsidP="00F627F1">
      <w:pPr>
        <w:ind w:left="720"/>
      </w:pPr>
      <w:r>
        <w:t xml:space="preserve">Disadvantages </w:t>
      </w:r>
    </w:p>
    <w:p w:rsidR="00F627F1" w:rsidRDefault="00DB4444" w:rsidP="00F627F1">
      <w:pPr>
        <w:ind w:left="720"/>
      </w:pPr>
      <w:r>
        <w:t>- They do not tend to look at companies betwe</w:t>
      </w:r>
      <w:r w:rsidR="00F627F1">
        <w:t>e</w:t>
      </w:r>
      <w:r>
        <w:t xml:space="preserve">n sectors and only at the companies. </w:t>
      </w:r>
    </w:p>
    <w:p w:rsidR="00F627F1" w:rsidRDefault="00DB4444" w:rsidP="00F627F1">
      <w:pPr>
        <w:ind w:left="720"/>
      </w:pPr>
      <w:r>
        <w:t>-Some shares do not move with thei</w:t>
      </w:r>
      <w:r w:rsidR="00F627F1">
        <w:t>r industry</w:t>
      </w:r>
      <w:r>
        <w:t xml:space="preserve"> exception.</w:t>
      </w:r>
    </w:p>
    <w:p w:rsidR="00F627F1" w:rsidRDefault="00F627F1" w:rsidP="00F627F1">
      <w:r>
        <w:t xml:space="preserve">    </w:t>
      </w:r>
      <w:r w:rsidR="00DB4444">
        <w:t xml:space="preserve"> b</w:t>
      </w:r>
      <w:r>
        <w:t xml:space="preserve">) </w:t>
      </w:r>
      <w:proofErr w:type="gramStart"/>
      <w:r>
        <w:t>they</w:t>
      </w:r>
      <w:proofErr w:type="gramEnd"/>
      <w:r>
        <w:t xml:space="preserve"> could be grouped by cap size, large-small &amp; Growth with </w:t>
      </w:r>
      <w:r w:rsidR="00DB4444">
        <w:t>value</w:t>
      </w:r>
      <w:r>
        <w:t>.</w:t>
      </w:r>
    </w:p>
    <w:p w:rsidR="00F627F1" w:rsidRDefault="00F627F1" w:rsidP="00F627F1"/>
    <w:p w:rsidR="001E19D2" w:rsidRDefault="001E19D2" w:rsidP="00296D3B">
      <w:pPr>
        <w:outlineLvl w:val="0"/>
      </w:pPr>
      <w:r>
        <w:t xml:space="preserve">Q2. </w:t>
      </w:r>
    </w:p>
    <w:p w:rsidR="001E19D2" w:rsidRDefault="001E19D2" w:rsidP="001E19D2">
      <w:r>
        <w:t xml:space="preserve">The factor that needs to be considered in specifying the index </w:t>
      </w:r>
      <w:proofErr w:type="gramStart"/>
      <w:r>
        <w:t>are</w:t>
      </w:r>
      <w:proofErr w:type="gramEnd"/>
      <w:r>
        <w:t>:</w:t>
      </w:r>
    </w:p>
    <w:p w:rsidR="001E19D2" w:rsidRDefault="001E19D2" w:rsidP="001E19D2">
      <w:pPr>
        <w:pStyle w:val="ListParagraph"/>
        <w:numPr>
          <w:ilvl w:val="0"/>
          <w:numId w:val="2"/>
        </w:numPr>
      </w:pPr>
      <w:proofErr w:type="gramStart"/>
      <w:r>
        <w:t>weighted</w:t>
      </w:r>
      <w:proofErr w:type="gramEnd"/>
      <w:r>
        <w:t xml:space="preserve"> arithmetic average </w:t>
      </w:r>
    </w:p>
    <w:p w:rsidR="001E19D2" w:rsidRDefault="001E19D2" w:rsidP="001E19D2">
      <w:pPr>
        <w:pStyle w:val="ListParagraph"/>
        <w:numPr>
          <w:ilvl w:val="0"/>
          <w:numId w:val="2"/>
        </w:numPr>
      </w:pPr>
      <w:proofErr w:type="gramStart"/>
      <w:r>
        <w:t>free</w:t>
      </w:r>
      <w:proofErr w:type="gramEnd"/>
      <w:r>
        <w:t xml:space="preserve"> float weighting.</w:t>
      </w:r>
    </w:p>
    <w:p w:rsidR="001E19D2" w:rsidRDefault="001E19D2" w:rsidP="001E19D2">
      <w:pPr>
        <w:pStyle w:val="ListParagraph"/>
        <w:numPr>
          <w:ilvl w:val="0"/>
          <w:numId w:val="2"/>
        </w:numPr>
      </w:pPr>
      <w:r>
        <w:t xml:space="preserve">Average net dividend cover. </w:t>
      </w:r>
    </w:p>
    <w:p w:rsidR="001E19D2" w:rsidRDefault="001E19D2" w:rsidP="001E19D2">
      <w:pPr>
        <w:pStyle w:val="ListParagraph"/>
        <w:numPr>
          <w:ilvl w:val="0"/>
          <w:numId w:val="2"/>
        </w:numPr>
      </w:pPr>
      <w:r>
        <w:t>Capital &amp; total return index number</w:t>
      </w:r>
    </w:p>
    <w:p w:rsidR="001E19D2" w:rsidRDefault="001E19D2" w:rsidP="001E19D2">
      <w:pPr>
        <w:pStyle w:val="ListParagraph"/>
        <w:numPr>
          <w:ilvl w:val="0"/>
          <w:numId w:val="2"/>
        </w:numPr>
      </w:pPr>
      <w:r>
        <w:t xml:space="preserve">Price earning ratio </w:t>
      </w:r>
    </w:p>
    <w:p w:rsidR="001E19D2" w:rsidRDefault="001E19D2" w:rsidP="001E19D2">
      <w:pPr>
        <w:pStyle w:val="ListParagraph"/>
        <w:numPr>
          <w:ilvl w:val="0"/>
          <w:numId w:val="2"/>
        </w:numPr>
      </w:pPr>
      <w:r>
        <w:t>Ex-</w:t>
      </w:r>
      <w:proofErr w:type="spellStart"/>
      <w:r>
        <w:t>divident</w:t>
      </w:r>
      <w:proofErr w:type="spellEnd"/>
      <w:r>
        <w:t xml:space="preserve"> </w:t>
      </w:r>
      <w:proofErr w:type="spellStart"/>
      <w:r>
        <w:t>adjusment</w:t>
      </w:r>
      <w:proofErr w:type="spellEnd"/>
    </w:p>
    <w:p w:rsidR="001E19D2" w:rsidRDefault="001E19D2" w:rsidP="001E19D2"/>
    <w:p w:rsidR="001E19D2" w:rsidRDefault="001E19D2" w:rsidP="00296D3B">
      <w:pPr>
        <w:outlineLvl w:val="0"/>
      </w:pPr>
      <w:r>
        <w:t>Q3.</w:t>
      </w:r>
    </w:p>
    <w:p w:rsidR="001E19D2" w:rsidRDefault="001E19D2" w:rsidP="001E19D2">
      <w:r>
        <w:t>1 Advantage and I disadvantages of:</w:t>
      </w:r>
    </w:p>
    <w:p w:rsidR="001E19D2" w:rsidRDefault="001E19D2" w:rsidP="001E19D2"/>
    <w:p w:rsidR="001E19D2" w:rsidRDefault="001E19D2" w:rsidP="00296D3B">
      <w:pPr>
        <w:outlineLvl w:val="0"/>
      </w:pPr>
      <w:r>
        <w:t>(1) MWRR -Money Weighted Rate of Return</w:t>
      </w:r>
    </w:p>
    <w:p w:rsidR="001E19D2" w:rsidRDefault="001E19D2" w:rsidP="001E19D2">
      <w:r>
        <w:t>- It is useful &amp; as an absolute measure of achieved return. It is compared with assumption to see whether the achieved return is higher or lower than expected.</w:t>
      </w:r>
    </w:p>
    <w:p w:rsidR="001E19D2" w:rsidRDefault="001E19D2" w:rsidP="001E19D2">
      <w:r>
        <w:t xml:space="preserve">- It is not as good as a basis for comprising portfolios because the rate can be distorted by the size and timing of </w:t>
      </w:r>
      <w:proofErr w:type="spellStart"/>
      <w:r>
        <w:t>Cashflows</w:t>
      </w:r>
      <w:proofErr w:type="spellEnd"/>
      <w:r>
        <w:t>.</w:t>
      </w:r>
    </w:p>
    <w:p w:rsidR="001E19D2" w:rsidRDefault="001E19D2" w:rsidP="001E19D2"/>
    <w:p w:rsidR="001E19D2" w:rsidRDefault="001E19D2" w:rsidP="00296D3B">
      <w:pPr>
        <w:outlineLvl w:val="0"/>
      </w:pPr>
      <w:r>
        <w:t>(2) TWRR – Time Weighted Rate of return</w:t>
      </w:r>
    </w:p>
    <w:p w:rsidR="001E19D2" w:rsidRDefault="001E19D2" w:rsidP="001E19D2">
      <w:r>
        <w:t xml:space="preserve">- It is unaffected by </w:t>
      </w:r>
      <w:proofErr w:type="spellStart"/>
      <w:r>
        <w:t>cashflows</w:t>
      </w:r>
      <w:proofErr w:type="spellEnd"/>
      <w:r>
        <w:t xml:space="preserve">, so it is good as the basis for comparison between funds &amp; over time. </w:t>
      </w:r>
    </w:p>
    <w:p w:rsidR="001E19D2" w:rsidRDefault="001E19D2" w:rsidP="001E19D2">
      <w:r>
        <w:t xml:space="preserve">-It doesn't give the rate actually achieved, &amp; it is potentially impractical if </w:t>
      </w:r>
      <w:proofErr w:type="spellStart"/>
      <w:r>
        <w:t>cashflow</w:t>
      </w:r>
      <w:proofErr w:type="spellEnd"/>
      <w:r>
        <w:t xml:space="preserve"> are frequent or if</w:t>
      </w:r>
      <w:r w:rsidR="00065419">
        <w:t xml:space="preserve"> </w:t>
      </w:r>
      <w:r>
        <w:t>valuation is difficult.</w:t>
      </w:r>
    </w:p>
    <w:p w:rsidR="00065419" w:rsidRDefault="00065419" w:rsidP="00065419"/>
    <w:p w:rsidR="001E19D2" w:rsidRDefault="001E19D2" w:rsidP="00296D3B">
      <w:pPr>
        <w:outlineLvl w:val="0"/>
      </w:pPr>
      <w:r>
        <w:t>(3) LIRR</w:t>
      </w:r>
      <w:r w:rsidR="00065419">
        <w:t xml:space="preserve">: </w:t>
      </w:r>
      <w:r>
        <w:t xml:space="preserve">It doesn't give the rate of </w:t>
      </w:r>
      <w:proofErr w:type="spellStart"/>
      <w:r>
        <w:t>retures</w:t>
      </w:r>
      <w:proofErr w:type="spellEnd"/>
      <w:r>
        <w:t xml:space="preserve"> actually </w:t>
      </w:r>
      <w:proofErr w:type="spellStart"/>
      <w:r>
        <w:t>verned</w:t>
      </w:r>
      <w:proofErr w:type="spellEnd"/>
      <w:r>
        <w:t xml:space="preserve"> on. </w:t>
      </w:r>
      <w:proofErr w:type="gramStart"/>
      <w:r>
        <w:t>the</w:t>
      </w:r>
      <w:proofErr w:type="gramEnd"/>
      <w:r>
        <w:t xml:space="preserve"> assets over the period.</w:t>
      </w:r>
    </w:p>
    <w:p w:rsidR="001E19D2" w:rsidRDefault="001E19D2" w:rsidP="001E19D2"/>
    <w:p w:rsidR="00065419" w:rsidRDefault="00065419" w:rsidP="00296D3B">
      <w:pPr>
        <w:outlineLvl w:val="0"/>
      </w:pPr>
      <w:r>
        <w:t>Q</w:t>
      </w:r>
      <w:r w:rsidR="001E19D2">
        <w:t>4</w:t>
      </w:r>
      <w:r>
        <w:t>.</w:t>
      </w:r>
    </w:p>
    <w:p w:rsidR="001E19D2" w:rsidRDefault="00065419" w:rsidP="001E19D2">
      <w:r>
        <w:t>Suppose a portfol</w:t>
      </w:r>
      <w:r w:rsidR="001E19D2">
        <w:t>io investment return are assumed to be nor</w:t>
      </w:r>
      <w:r>
        <w:t xml:space="preserve">mally distributed and it has 5% </w:t>
      </w:r>
      <w:proofErr w:type="spellStart"/>
      <w:r>
        <w:t>VaR</w:t>
      </w:r>
      <w:proofErr w:type="spellEnd"/>
      <w:r>
        <w:t xml:space="preserve"> corresponding to a loss of Portfolio Value ov</w:t>
      </w:r>
      <w:r w:rsidR="001E19D2">
        <w:t>er the next year. Div</w:t>
      </w:r>
      <w:r>
        <w:t xml:space="preserve">iding this 10% </w:t>
      </w:r>
      <w:proofErr w:type="spellStart"/>
      <w:r>
        <w:t>VaR</w:t>
      </w:r>
      <w:proofErr w:type="spellEnd"/>
      <w:r>
        <w:t xml:space="preserve"> by the 5% CI that i</w:t>
      </w:r>
      <w:r w:rsidR="001E19D2">
        <w:t>s</w:t>
      </w:r>
      <w:r>
        <w:t xml:space="preserve"> 1.645 from the normal tables gives </w:t>
      </w:r>
      <w:r w:rsidR="001E19D2">
        <w:t>a maximum p</w:t>
      </w:r>
      <w:r>
        <w:t xml:space="preserve">ermitted tracking error gives of 6% pa. </w:t>
      </w:r>
      <w:proofErr w:type="gramStart"/>
      <w:r>
        <w:t>approximately</w:t>
      </w:r>
      <w:proofErr w:type="gramEnd"/>
      <w:r>
        <w:t>.</w:t>
      </w:r>
    </w:p>
    <w:p w:rsidR="001E19D2" w:rsidRDefault="001E19D2" w:rsidP="001E19D2"/>
    <w:p w:rsidR="00065419" w:rsidRDefault="00065419" w:rsidP="00296D3B">
      <w:pPr>
        <w:outlineLvl w:val="0"/>
      </w:pPr>
      <w:r>
        <w:t>Q5.</w:t>
      </w:r>
    </w:p>
    <w:p w:rsidR="00065419" w:rsidRDefault="00065419" w:rsidP="001E19D2">
      <w:r>
        <w:t xml:space="preserve">Shortfall Probability: </w:t>
      </w:r>
      <w:r w:rsidR="001E19D2">
        <w:t>Shor</w:t>
      </w:r>
      <w:r>
        <w:t>t</w:t>
      </w:r>
      <w:r w:rsidR="001E19D2">
        <w:t>fall risk is the possibil</w:t>
      </w:r>
      <w:r>
        <w:t>ity that may a portfolio not out-</w:t>
      </w:r>
      <w:r w:rsidR="001E19D2">
        <w:t>perform the minimal return set by</w:t>
      </w:r>
      <w:r>
        <w:t xml:space="preserve"> an investor.</w:t>
      </w:r>
    </w:p>
    <w:p w:rsidR="00F627F1" w:rsidRDefault="001E19D2" w:rsidP="001E19D2">
      <w:r>
        <w:t>Expected &amp; Shortfall: Is a risk assessment measure that</w:t>
      </w:r>
      <w:r w:rsidR="00065419">
        <w:t xml:space="preserve"> </w:t>
      </w:r>
      <w:r>
        <w:t>quantifies the amount of tail risk the investment portfolio</w:t>
      </w:r>
      <w:r w:rsidR="00065419">
        <w:t xml:space="preserve"> has. </w:t>
      </w:r>
      <w:proofErr w:type="spellStart"/>
      <w:r w:rsidR="00065419">
        <w:t>CVa</w:t>
      </w:r>
      <w:r>
        <w:t>R</w:t>
      </w:r>
      <w:proofErr w:type="spellEnd"/>
      <w:r>
        <w:t xml:space="preserve"> is derived by taking a weighted average of the "extreme" losses in the tail o</w:t>
      </w:r>
      <w:r w:rsidR="00065419">
        <w:t xml:space="preserve">f the distribution of possible </w:t>
      </w:r>
      <w:r>
        <w:t>return</w:t>
      </w:r>
      <w:r w:rsidR="00065419">
        <w:t>s, beyond the value at risk cut</w:t>
      </w:r>
      <w:r>
        <w:t xml:space="preserve"> off po</w:t>
      </w:r>
      <w:r w:rsidR="00065419">
        <w:t xml:space="preserve">int. Conditional value at risk is used in portfolio </w:t>
      </w:r>
      <w:r>
        <w:t>opti</w:t>
      </w:r>
      <w:r w:rsidR="00065419">
        <w:t>mization for effective risk management.</w:t>
      </w:r>
    </w:p>
    <w:p w:rsidR="00065419" w:rsidRDefault="00065419" w:rsidP="001E19D2"/>
    <w:p w:rsidR="00065419" w:rsidRDefault="00065419" w:rsidP="00296D3B">
      <w:pPr>
        <w:outlineLvl w:val="0"/>
      </w:pPr>
      <w:r>
        <w:t xml:space="preserve">Q6. </w:t>
      </w:r>
    </w:p>
    <w:p w:rsidR="00296D3B" w:rsidRDefault="00296D3B" w:rsidP="00296D3B">
      <w:r>
        <w:t>Multifactor models can be used to determine the proper expected return on a share given a set of risk factors and their estimated factor returns in active management (the coefficients of the risk factors used in the model).</w:t>
      </w:r>
    </w:p>
    <w:p w:rsidR="00296D3B" w:rsidRDefault="00296D3B" w:rsidP="00296D3B">
      <w:r>
        <w:t>• Outperforming shares or sectors can be found if risk variables can be predicted with more precision than the market. The predicted return calculated using the approach can then be compared to the expected return estimated using a discounted dividend or PE ratio model.</w:t>
      </w:r>
    </w:p>
    <w:p w:rsidR="00296D3B" w:rsidRDefault="00296D3B" w:rsidP="00296D3B">
      <w:r>
        <w:t xml:space="preserve">• </w:t>
      </w:r>
      <w:proofErr w:type="gramStart"/>
      <w:r>
        <w:t>If</w:t>
      </w:r>
      <w:proofErr w:type="gramEnd"/>
      <w:r>
        <w:t xml:space="preserve"> the multifactor model's predicted return is lower than the current share price, the stock appears to be undervalued.</w:t>
      </w:r>
    </w:p>
    <w:p w:rsidR="00296D3B" w:rsidRDefault="00296D3B" w:rsidP="00296D3B">
      <w:r>
        <w:t>The Multifactor Model's Application in Passive Management:</w:t>
      </w:r>
    </w:p>
    <w:p w:rsidR="00296D3B" w:rsidRDefault="00296D3B" w:rsidP="00296D3B">
      <w:r>
        <w:t>• Multifactor models can also be used to identify and control the exposure of a portfolio to the different risk factors and to change the risk profile of the portfolio to better match the exposure of the liabilities.</w:t>
      </w:r>
    </w:p>
    <w:p w:rsidR="00296D3B" w:rsidRDefault="00296D3B" w:rsidP="00296D3B"/>
    <w:p w:rsidR="00296D3B" w:rsidRDefault="00296D3B" w:rsidP="00296D3B">
      <w:pPr>
        <w:outlineLvl w:val="0"/>
      </w:pPr>
      <w:r>
        <w:t>Q7.</w:t>
      </w:r>
    </w:p>
    <w:p w:rsidR="00296D3B" w:rsidRDefault="00296D3B" w:rsidP="00296D3B">
      <w:r w:rsidRPr="00296D3B">
        <w:t xml:space="preserve">Financial stress testing can be used to identify and </w:t>
      </w:r>
      <w:proofErr w:type="spellStart"/>
      <w:r w:rsidRPr="00296D3B">
        <w:t>analyse</w:t>
      </w:r>
      <w:proofErr w:type="spellEnd"/>
      <w:r w:rsidRPr="00296D3B">
        <w:t xml:space="preserve"> the hazards associated with significant market events. To acquire insight into portfolio sensitivities to predetermined risk factors, this includes subjecting a portfolio to significant market moves by substantially modifying the underlying portfolio assumptions and features. This has to do with asset correlations and volatility. There are two different kinds of stress tests: </w:t>
      </w:r>
    </w:p>
    <w:p w:rsidR="00296D3B" w:rsidRDefault="00296D3B" w:rsidP="00296D3B">
      <w:r w:rsidRPr="00296D3B">
        <w:t>1)</w:t>
      </w:r>
      <w:r>
        <w:t xml:space="preserve"> </w:t>
      </w:r>
      <w:r w:rsidRPr="00296D3B">
        <w:t xml:space="preserve">To identify "weak regions" in the portfolio and explore the consequences of </w:t>
      </w:r>
      <w:proofErr w:type="spellStart"/>
      <w:r w:rsidRPr="00296D3B">
        <w:t>localised</w:t>
      </w:r>
      <w:proofErr w:type="spellEnd"/>
      <w:r w:rsidRPr="00296D3B">
        <w:t xml:space="preserve"> stress conditions by examining the impact of various correlations and volatilities combinations. </w:t>
      </w:r>
    </w:p>
    <w:p w:rsidR="00296D3B" w:rsidRDefault="00296D3B" w:rsidP="00296D3B">
      <w:r w:rsidRPr="00296D3B">
        <w:t>2)</w:t>
      </w:r>
      <w:r>
        <w:t xml:space="preserve"> </w:t>
      </w:r>
      <w:r w:rsidRPr="00296D3B">
        <w:t>To assess the impact of substantial market upheaval on all model parameters while guaranteeing that correlations remain consistent while "stressed."</w:t>
      </w:r>
    </w:p>
    <w:p w:rsidR="00296D3B" w:rsidRDefault="00296D3B" w:rsidP="00296D3B"/>
    <w:p w:rsidR="00296D3B" w:rsidRDefault="00296D3B" w:rsidP="00296D3B">
      <w:r w:rsidRPr="00296D3B">
        <w:t xml:space="preserve">As a result, developing stress test scenarios that correspond to the unique portfolio should be a fundamental element of establishing a thorough </w:t>
      </w:r>
      <w:proofErr w:type="gramStart"/>
      <w:r w:rsidRPr="00296D3B">
        <w:t>stress testing</w:t>
      </w:r>
      <w:proofErr w:type="gramEnd"/>
      <w:r w:rsidRPr="00296D3B">
        <w:t xml:space="preserve"> framework. These scenarios should be </w:t>
      </w:r>
      <w:proofErr w:type="spellStart"/>
      <w:r w:rsidRPr="00296D3B">
        <w:t>customised</w:t>
      </w:r>
      <w:proofErr w:type="spellEnd"/>
      <w:r w:rsidRPr="00296D3B">
        <w:t xml:space="preserve"> to identify flaws in the portfolio structure in terms of risk exposure and sensitivity, with an emphasis on the risk factors to which the portfolio is most vulnerable.</w:t>
      </w:r>
    </w:p>
    <w:p w:rsidR="00296D3B" w:rsidRDefault="00296D3B" w:rsidP="00296D3B">
      <w:r>
        <w:t xml:space="preserve">Q8. </w:t>
      </w:r>
    </w:p>
    <w:p w:rsidR="00F876A7" w:rsidRDefault="00344CC3" w:rsidP="00296D3B">
      <w:r w:rsidRPr="00344CC3">
        <w:t>The relative changes in the share/stock prices of the constituent companies or stocks that make up the index are represented by an investment index. For the following reasons, the fund management will not include every index stock in order to meet the sector weight:</w:t>
      </w:r>
    </w:p>
    <w:p w:rsidR="00F876A7" w:rsidRDefault="00F876A7" w:rsidP="00F876A7">
      <w:pPr>
        <w:pStyle w:val="ListParagraph"/>
        <w:numPr>
          <w:ilvl w:val="0"/>
          <w:numId w:val="2"/>
        </w:numPr>
      </w:pPr>
      <w:r w:rsidRPr="00F876A7">
        <w:t xml:space="preserve">Each index serves a distinct purpose and is used in a unique way. To determine the member firms, each index will be formed using specified eligibility criteria from time to time. </w:t>
      </w:r>
    </w:p>
    <w:p w:rsidR="00344CC3" w:rsidRDefault="00F876A7" w:rsidP="00F876A7">
      <w:pPr>
        <w:pStyle w:val="ListParagraph"/>
        <w:numPr>
          <w:ilvl w:val="0"/>
          <w:numId w:val="2"/>
        </w:numPr>
      </w:pPr>
      <w:r w:rsidRPr="00F876A7">
        <w:t>Furthermore, not every company in the index will be associated with a specific industry. For example, some stocks fall into the miscellaneous category, meaning they are not assigned to a certain sector or industry. Because it does not contribute to or fall under a defined category, the fund manager will not include it in sector weights.</w:t>
      </w:r>
    </w:p>
    <w:p w:rsidR="00F876A7" w:rsidRDefault="00F876A7" w:rsidP="00F876A7">
      <w:pPr>
        <w:pStyle w:val="ListParagraph"/>
        <w:numPr>
          <w:ilvl w:val="0"/>
          <w:numId w:val="2"/>
        </w:numPr>
      </w:pPr>
      <w:r w:rsidRPr="00F876A7">
        <w:t xml:space="preserve">A stock's performance is vital in determining whether or not it is included in an index fund. A fund manager should only include index constituents in the fund that provide </w:t>
      </w:r>
      <w:proofErr w:type="spellStart"/>
      <w:r w:rsidRPr="00F876A7">
        <w:t>favourable</w:t>
      </w:r>
      <w:proofErr w:type="spellEnd"/>
      <w:r w:rsidRPr="00F876A7">
        <w:t xml:space="preserve"> returns to investors. As a result, the fund manager is not obligated to incorporate all of the sector's members that are part of the index. He can even get the desired weight by removing stocks from the equation.</w:t>
      </w:r>
    </w:p>
    <w:p w:rsidR="00F876A7" w:rsidRDefault="00F876A7" w:rsidP="00F876A7">
      <w:pPr>
        <w:pStyle w:val="ListParagraph"/>
        <w:ind w:left="1080"/>
      </w:pPr>
    </w:p>
    <w:p w:rsidR="00F876A7" w:rsidRDefault="00F876A7" w:rsidP="00F876A7">
      <w:r>
        <w:t>The following are some quantitative studies that could be conducted once the fund has been established to guarantee that it efficiently tracks the index:</w:t>
      </w:r>
    </w:p>
    <w:p w:rsidR="00F876A7" w:rsidRDefault="00F876A7" w:rsidP="00F876A7">
      <w:pPr>
        <w:pStyle w:val="ListParagraph"/>
        <w:numPr>
          <w:ilvl w:val="0"/>
          <w:numId w:val="2"/>
        </w:numPr>
      </w:pPr>
      <w:r>
        <w:t>Checking the index and fund weights on a regular basis. To ensure that the fund tracks the index, the fund's weights should be identical to those of the index it is monitoring. The fund's weights will be rebalanced if the index's weights change.</w:t>
      </w:r>
    </w:p>
    <w:p w:rsidR="00F876A7" w:rsidRDefault="00D42ED1" w:rsidP="00F876A7">
      <w:pPr>
        <w:pStyle w:val="ListParagraph"/>
        <w:numPr>
          <w:ilvl w:val="0"/>
          <w:numId w:val="2"/>
        </w:numPr>
      </w:pPr>
      <w:r w:rsidRPr="00D42ED1">
        <w:t xml:space="preserve">• Checking for tracking errors on a regular basis. The difference between the price </w:t>
      </w:r>
      <w:proofErr w:type="spellStart"/>
      <w:r w:rsidRPr="00D42ED1">
        <w:t>behaviour</w:t>
      </w:r>
      <w:proofErr w:type="spellEnd"/>
      <w:r w:rsidRPr="00D42ED1">
        <w:t xml:space="preserve"> of a position or a portfolio and the price </w:t>
      </w:r>
      <w:proofErr w:type="spellStart"/>
      <w:r w:rsidRPr="00D42ED1">
        <w:t>behaviour</w:t>
      </w:r>
      <w:proofErr w:type="spellEnd"/>
      <w:r w:rsidRPr="00D42ED1">
        <w:t xml:space="preserve"> of a benchmark is known as tracking error. The discrepancy between the return an investor receives and the return of the benchmark they were aiming to emulate is expressed as tracking error as a standard deviation percentage difference. Regularly reviewing the tracking error is a key quantitative study to see if the fund is effectively following the fund.</w:t>
      </w:r>
    </w:p>
    <w:p w:rsidR="00D42ED1" w:rsidRPr="00D42ED1" w:rsidRDefault="00D42ED1" w:rsidP="00D42ED1">
      <w:pPr>
        <w:pStyle w:val="ListParagraph"/>
        <w:numPr>
          <w:ilvl w:val="0"/>
          <w:numId w:val="2"/>
        </w:numPr>
        <w:spacing w:after="160" w:line="276" w:lineRule="auto"/>
      </w:pPr>
      <w:r w:rsidRPr="00D42ED1">
        <w:rPr>
          <w:bCs/>
        </w:rPr>
        <w:t>Setting benchmark return for each sector.</w:t>
      </w:r>
      <w:r w:rsidRPr="00D42ED1">
        <w:t xml:space="preserve"> Since the fund manager will not include every constituent of the index in the fund, an important quantitative check should be to set and track the performance of the stock included in the fund.   </w:t>
      </w:r>
    </w:p>
    <w:p w:rsidR="00D42ED1" w:rsidRDefault="00D42ED1" w:rsidP="00D42ED1"/>
    <w:p w:rsidR="00D42ED1" w:rsidRDefault="00D42ED1" w:rsidP="00D42ED1"/>
    <w:p w:rsidR="00D42ED1" w:rsidRDefault="00D42ED1" w:rsidP="00D42ED1"/>
    <w:p w:rsidR="00D42ED1" w:rsidRDefault="00D42ED1" w:rsidP="00D42ED1"/>
    <w:p w:rsidR="00D42ED1" w:rsidRDefault="00D42ED1" w:rsidP="00D42ED1"/>
    <w:p w:rsidR="00D42ED1" w:rsidRDefault="00D42ED1" w:rsidP="00D42ED1"/>
    <w:p w:rsidR="00D42ED1" w:rsidRDefault="00D42ED1" w:rsidP="00D42ED1"/>
    <w:p w:rsidR="00D42ED1" w:rsidRDefault="00D42ED1" w:rsidP="00D42ED1"/>
    <w:p w:rsidR="00D42ED1" w:rsidRDefault="00D42ED1" w:rsidP="00D42ED1"/>
    <w:p w:rsidR="00D42ED1" w:rsidRDefault="00D42ED1" w:rsidP="00D42ED1"/>
    <w:p w:rsidR="00D42ED1" w:rsidRDefault="00D42ED1" w:rsidP="00D42ED1">
      <w:r>
        <w:t>Q9.</w:t>
      </w:r>
    </w:p>
    <w:p w:rsidR="00D42ED1" w:rsidRDefault="00D42ED1" w:rsidP="00D42ED1">
      <w:r>
        <w:t xml:space="preserve">The main </w:t>
      </w:r>
      <w:proofErr w:type="gramStart"/>
      <w:r>
        <w:t>type of hedge fund that the pension fund could invest in are</w:t>
      </w:r>
      <w:proofErr w:type="gramEnd"/>
      <w:r>
        <w:t xml:space="preserve"> as follows:   </w:t>
      </w:r>
    </w:p>
    <w:p w:rsidR="00D42ED1" w:rsidRDefault="00D42ED1" w:rsidP="00D42ED1">
      <w:pPr>
        <w:pStyle w:val="ListParagraph"/>
        <w:spacing w:line="276" w:lineRule="auto"/>
        <w:ind w:left="993"/>
        <w:jc w:val="both"/>
      </w:pPr>
    </w:p>
    <w:p w:rsidR="00D42ED1" w:rsidRDefault="00D42ED1" w:rsidP="00D42ED1">
      <w:pPr>
        <w:pStyle w:val="ListParagraph"/>
        <w:numPr>
          <w:ilvl w:val="1"/>
          <w:numId w:val="4"/>
        </w:numPr>
        <w:spacing w:after="160" w:line="276" w:lineRule="auto"/>
        <w:ind w:left="993" w:hanging="284"/>
        <w:jc w:val="both"/>
      </w:pPr>
      <w:r>
        <w:rPr>
          <w:b/>
          <w:bCs/>
        </w:rPr>
        <w:t>Fixed Income Arbitrage Hedge Funds</w:t>
      </w:r>
      <w:r w:rsidRPr="00A34E7E">
        <w:rPr>
          <w:b/>
          <w:bCs/>
        </w:rPr>
        <w:t>:</w:t>
      </w:r>
      <w:r>
        <w:t xml:space="preserve"> Fixed income arbitrage funds attempt to obtain profits by exploiting inefficiencies and price anomalies between related fixed income securities. Hedge funds that employ Fixed Income Arbitrage strategy are suitable for pension funds. This is due to the fact that the fund manager tries to limit volatility by hedging exposure to interest rate risk. </w:t>
      </w:r>
    </w:p>
    <w:p w:rsidR="00D42ED1" w:rsidRPr="000F3E4A" w:rsidRDefault="00D42ED1" w:rsidP="00D42ED1">
      <w:pPr>
        <w:pStyle w:val="ListParagraph"/>
        <w:spacing w:line="276" w:lineRule="auto"/>
        <w:ind w:left="993"/>
        <w:jc w:val="both"/>
      </w:pPr>
    </w:p>
    <w:p w:rsidR="00D42ED1" w:rsidRDefault="00D42ED1" w:rsidP="00D42ED1">
      <w:pPr>
        <w:pStyle w:val="ListParagraph"/>
        <w:numPr>
          <w:ilvl w:val="1"/>
          <w:numId w:val="4"/>
        </w:numPr>
        <w:spacing w:after="160" w:line="276" w:lineRule="auto"/>
        <w:ind w:left="993" w:hanging="284"/>
        <w:jc w:val="both"/>
      </w:pPr>
      <w:r w:rsidRPr="000F3E4A">
        <w:rPr>
          <w:b/>
          <w:bCs/>
        </w:rPr>
        <w:t>Convertible Arbitrage Hedge Fund Strategy:</w:t>
      </w:r>
      <w:r>
        <w:t xml:space="preserve"> The second type of hedge fund strategy suitable for pension fund is convertible arbitrage strategy. Convertible arbitrage funds attempt to profit from the purchase of convertible securities and the shorting of corresponding stock, taking advantage of a perceived pricing error made in the security's conversion factor. </w:t>
      </w:r>
    </w:p>
    <w:p w:rsidR="00D42ED1" w:rsidRPr="007369D9" w:rsidRDefault="00D42ED1" w:rsidP="00D42ED1">
      <w:pPr>
        <w:pStyle w:val="ListParagraph"/>
        <w:rPr>
          <w:b/>
          <w:bCs/>
        </w:rPr>
      </w:pPr>
    </w:p>
    <w:p w:rsidR="00D42ED1" w:rsidRDefault="00D42ED1" w:rsidP="00D42ED1">
      <w:pPr>
        <w:pStyle w:val="ListParagraph"/>
        <w:numPr>
          <w:ilvl w:val="1"/>
          <w:numId w:val="4"/>
        </w:numPr>
        <w:spacing w:after="160" w:line="276" w:lineRule="auto"/>
        <w:ind w:left="993" w:hanging="284"/>
        <w:jc w:val="both"/>
      </w:pPr>
      <w:r w:rsidRPr="007369D9">
        <w:rPr>
          <w:b/>
          <w:bCs/>
        </w:rPr>
        <w:t>Long / Short Equity Strategy:</w:t>
      </w:r>
      <w:r>
        <w:t xml:space="preserve"> Long/short equity funds take both long and short positions in the equity markets, diversifying or hedging across sectors, regions, or market capitalizations. </w:t>
      </w:r>
    </w:p>
    <w:p w:rsidR="00D42ED1" w:rsidRPr="00AD1DE6" w:rsidRDefault="00D42ED1" w:rsidP="00D42ED1">
      <w:pPr>
        <w:pStyle w:val="ListParagraph"/>
        <w:rPr>
          <w:b/>
          <w:bCs/>
        </w:rPr>
      </w:pPr>
    </w:p>
    <w:p w:rsidR="00D42ED1" w:rsidRPr="00AD1DE6" w:rsidRDefault="00D42ED1" w:rsidP="00D42ED1">
      <w:pPr>
        <w:pStyle w:val="ListParagraph"/>
        <w:numPr>
          <w:ilvl w:val="1"/>
          <w:numId w:val="4"/>
        </w:numPr>
        <w:spacing w:after="160" w:line="276" w:lineRule="auto"/>
        <w:ind w:left="993" w:hanging="284"/>
        <w:jc w:val="both"/>
      </w:pPr>
      <w:r w:rsidRPr="00AD1DE6">
        <w:rPr>
          <w:b/>
          <w:bCs/>
        </w:rPr>
        <w:t>Emerging Markets:</w:t>
      </w:r>
      <w:r>
        <w:t xml:space="preserve"> Emerging market funds invest in currencies, debt, equities, and other instruments in countries with emerging or developing markets. </w:t>
      </w:r>
    </w:p>
    <w:p w:rsidR="00D42ED1" w:rsidRDefault="00D42ED1" w:rsidP="00D42ED1">
      <w:pPr>
        <w:pStyle w:val="ListParagraph"/>
        <w:spacing w:line="276" w:lineRule="auto"/>
        <w:jc w:val="both"/>
      </w:pPr>
    </w:p>
    <w:p w:rsidR="00D42ED1" w:rsidRDefault="00D42ED1" w:rsidP="00D42ED1">
      <w:pPr>
        <w:pStyle w:val="ListParagraph"/>
        <w:numPr>
          <w:ilvl w:val="1"/>
          <w:numId w:val="4"/>
        </w:numPr>
        <w:spacing w:after="160" w:line="276" w:lineRule="auto"/>
        <w:ind w:left="993" w:hanging="284"/>
        <w:jc w:val="both"/>
      </w:pPr>
      <w:r>
        <w:rPr>
          <w:b/>
          <w:bCs/>
        </w:rPr>
        <w:t>Equity Market Neutral</w:t>
      </w:r>
      <w:r w:rsidRPr="00A34E7E">
        <w:rPr>
          <w:b/>
          <w:bCs/>
        </w:rPr>
        <w:t>:</w:t>
      </w:r>
      <w:r>
        <w:t xml:space="preserve"> Another hedge fund strategy that the pension fund can invest in is the equity market neutral strategy. </w:t>
      </w:r>
      <w:r w:rsidRPr="007B7BB0">
        <w:t>Equity market neutral describes an investment strategy where the manager attempts to exploit differences in stock prices by being long and short an equal amount in closely related stocks.</w:t>
      </w:r>
      <w:r>
        <w:t xml:space="preserve"> </w:t>
      </w:r>
    </w:p>
    <w:p w:rsidR="00D42ED1" w:rsidRDefault="00D42ED1" w:rsidP="00D42ED1">
      <w:pPr>
        <w:pStyle w:val="ListParagraph"/>
      </w:pPr>
    </w:p>
    <w:p w:rsidR="00D42ED1" w:rsidRDefault="00D42ED1" w:rsidP="00D42ED1">
      <w:pPr>
        <w:spacing w:line="276" w:lineRule="auto"/>
        <w:ind w:firstLine="709"/>
        <w:jc w:val="both"/>
      </w:pPr>
      <w:r>
        <w:t xml:space="preserve">The main investment </w:t>
      </w:r>
      <w:proofErr w:type="gramStart"/>
      <w:r>
        <w:t>characteristic of a hedge fund are</w:t>
      </w:r>
      <w:proofErr w:type="gramEnd"/>
      <w:r>
        <w:t xml:space="preserve"> as follows:</w:t>
      </w:r>
    </w:p>
    <w:p w:rsidR="00D42ED1" w:rsidRDefault="00D42ED1" w:rsidP="00D42ED1">
      <w:pPr>
        <w:pStyle w:val="ListParagraph"/>
        <w:numPr>
          <w:ilvl w:val="0"/>
          <w:numId w:val="5"/>
        </w:numPr>
        <w:spacing w:after="160" w:line="276" w:lineRule="auto"/>
        <w:ind w:left="993" w:hanging="284"/>
        <w:jc w:val="both"/>
      </w:pPr>
      <w:r w:rsidRPr="008C013E">
        <w:rPr>
          <w:b/>
          <w:bCs/>
        </w:rPr>
        <w:t>High Net-Worth Individuals:</w:t>
      </w:r>
      <w:r>
        <w:t xml:space="preserve"> </w:t>
      </w:r>
      <w:r w:rsidRPr="001B010F">
        <w:t>Only qualified or accredited investors can invest in hedge funds. They are mainly high net worth individuals (HNIs), banks, insurance companies, endowments and </w:t>
      </w:r>
      <w:r>
        <w:fldChar w:fldCharType="begin"/>
      </w:r>
      <w:r>
        <w:instrText xml:space="preserve"> HYPERLINK "https://cleartax.in/s/pension-plans-india" \t "_blank" </w:instrText>
      </w:r>
      <w:r>
        <w:fldChar w:fldCharType="separate"/>
      </w:r>
      <w:r w:rsidRPr="001B010F">
        <w:t>pension funds</w:t>
      </w:r>
      <w:r>
        <w:fldChar w:fldCharType="end"/>
      </w:r>
      <w:r w:rsidRPr="001B010F">
        <w:t>. </w:t>
      </w:r>
    </w:p>
    <w:p w:rsidR="00D42ED1" w:rsidRDefault="00D42ED1" w:rsidP="00D42ED1">
      <w:pPr>
        <w:pStyle w:val="ListParagraph"/>
        <w:spacing w:line="276" w:lineRule="auto"/>
        <w:ind w:left="993"/>
        <w:jc w:val="both"/>
      </w:pPr>
    </w:p>
    <w:p w:rsidR="00D42ED1" w:rsidRDefault="00D42ED1" w:rsidP="00D42ED1">
      <w:pPr>
        <w:pStyle w:val="ListParagraph"/>
        <w:numPr>
          <w:ilvl w:val="0"/>
          <w:numId w:val="5"/>
        </w:numPr>
        <w:spacing w:after="160" w:line="276" w:lineRule="auto"/>
        <w:ind w:left="993" w:hanging="284"/>
        <w:jc w:val="both"/>
      </w:pPr>
      <w:r w:rsidRPr="008C013E">
        <w:rPr>
          <w:b/>
          <w:bCs/>
        </w:rPr>
        <w:t>Diverse Portfolio:</w:t>
      </w:r>
      <w:r>
        <w:t xml:space="preserve"> </w:t>
      </w:r>
      <w:r w:rsidRPr="00BC72BE">
        <w:t>Hedge funds have a comprehensive </w:t>
      </w:r>
      <w:r>
        <w:fldChar w:fldCharType="begin"/>
      </w:r>
      <w:r>
        <w:instrText xml:space="preserve"> HYPERLINK "https://cleartax.in/s/build-portfolio-funds" \t "_blank" </w:instrText>
      </w:r>
      <w:r>
        <w:fldChar w:fldCharType="separate"/>
      </w:r>
      <w:r w:rsidRPr="00BC72BE">
        <w:t>portfolio</w:t>
      </w:r>
      <w:r>
        <w:fldChar w:fldCharType="end"/>
      </w:r>
      <w:r w:rsidRPr="00BC72BE">
        <w:t> of investments ranging from currencies, derivatives, stocks, real estates, equities, and bonds.</w:t>
      </w:r>
    </w:p>
    <w:p w:rsidR="00D42ED1" w:rsidRDefault="00D42ED1" w:rsidP="00D42ED1">
      <w:pPr>
        <w:pStyle w:val="ListParagraph"/>
      </w:pPr>
    </w:p>
    <w:p w:rsidR="00D42ED1" w:rsidRDefault="00D42ED1" w:rsidP="00D42ED1">
      <w:pPr>
        <w:pStyle w:val="ListParagraph"/>
        <w:numPr>
          <w:ilvl w:val="0"/>
          <w:numId w:val="5"/>
        </w:numPr>
        <w:spacing w:after="160" w:line="276" w:lineRule="auto"/>
        <w:ind w:left="993" w:hanging="284"/>
        <w:jc w:val="both"/>
      </w:pPr>
      <w:r w:rsidRPr="008C013E">
        <w:rPr>
          <w:b/>
          <w:bCs/>
        </w:rPr>
        <w:t>Higher Fees:</w:t>
      </w:r>
      <w:r>
        <w:t xml:space="preserve"> Hedge funds have higher fees. </w:t>
      </w:r>
      <w:r w:rsidRPr="00CC572B">
        <w:t xml:space="preserve">Globally, it is ‘Two and </w:t>
      </w:r>
      <w:proofErr w:type="gramStart"/>
      <w:r w:rsidRPr="00CC572B">
        <w:t>Twenty</w:t>
      </w:r>
      <w:proofErr w:type="gramEnd"/>
      <w:r w:rsidRPr="00CC572B">
        <w:t>’, meaning there is a 2% fixed fee and 20% of profits</w:t>
      </w:r>
      <w:r>
        <w:t>.</w:t>
      </w:r>
    </w:p>
    <w:p w:rsidR="00D42ED1" w:rsidRDefault="00D42ED1" w:rsidP="00D42ED1">
      <w:pPr>
        <w:pStyle w:val="ListParagraph"/>
      </w:pPr>
    </w:p>
    <w:p w:rsidR="00D42ED1" w:rsidRDefault="00D42ED1" w:rsidP="00D42ED1">
      <w:pPr>
        <w:pStyle w:val="ListParagraph"/>
        <w:numPr>
          <w:ilvl w:val="0"/>
          <w:numId w:val="5"/>
        </w:numPr>
        <w:spacing w:after="160" w:line="276" w:lineRule="auto"/>
        <w:ind w:left="993" w:hanging="284"/>
        <w:jc w:val="both"/>
      </w:pPr>
      <w:r w:rsidRPr="008C013E">
        <w:rPr>
          <w:b/>
          <w:bCs/>
        </w:rPr>
        <w:t>Higher Risks:</w:t>
      </w:r>
      <w:r>
        <w:t xml:space="preserve"> </w:t>
      </w:r>
      <w:r w:rsidRPr="008C013E">
        <w:t>Hedge funds investment strategy can expose funds to huge losses. Lock-in period generally for investment is relatively long. Leverage used by these funds can turn investments into a significant loss.</w:t>
      </w:r>
    </w:p>
    <w:p w:rsidR="00D42ED1" w:rsidRDefault="00D42ED1" w:rsidP="00D42ED1">
      <w:pPr>
        <w:pStyle w:val="ListParagraph"/>
      </w:pPr>
    </w:p>
    <w:p w:rsidR="00D42ED1" w:rsidRDefault="00D42ED1" w:rsidP="00D42ED1">
      <w:pPr>
        <w:spacing w:line="276" w:lineRule="auto"/>
        <w:ind w:left="709"/>
        <w:jc w:val="both"/>
      </w:pPr>
      <w:r>
        <w:t>One of the main shortcomings of a hedge fund is lack of credible performance data. The reasons behind this are as follows:</w:t>
      </w:r>
    </w:p>
    <w:p w:rsidR="00D42ED1" w:rsidRDefault="00D42ED1" w:rsidP="00D42ED1">
      <w:pPr>
        <w:pStyle w:val="ListParagraph"/>
        <w:numPr>
          <w:ilvl w:val="0"/>
          <w:numId w:val="6"/>
        </w:numPr>
        <w:spacing w:after="160" w:line="276" w:lineRule="auto"/>
        <w:ind w:left="993" w:hanging="284"/>
        <w:jc w:val="both"/>
      </w:pPr>
      <w:r>
        <w:t>Lack of regulation: Hedge funds are less regulated as compared to other institutions. Due to this, they are not bound by law or rules to publish data about their performance.</w:t>
      </w:r>
    </w:p>
    <w:p w:rsidR="00D42ED1" w:rsidRDefault="00D42ED1" w:rsidP="00D42ED1">
      <w:pPr>
        <w:pStyle w:val="ListParagraph"/>
        <w:numPr>
          <w:ilvl w:val="0"/>
          <w:numId w:val="6"/>
        </w:numPr>
        <w:spacing w:after="160" w:line="276" w:lineRule="auto"/>
        <w:ind w:left="993" w:hanging="284"/>
        <w:jc w:val="both"/>
      </w:pPr>
      <w:r>
        <w:t xml:space="preserve">Manipulation of performance returns: To gain more clients and retain existing ones, hedge funds manipulate their return data using various techniques. This makes it challenging to obtain credible data about their performance. </w:t>
      </w:r>
    </w:p>
    <w:p w:rsidR="00D42ED1" w:rsidRDefault="00D42ED1" w:rsidP="00D42ED1">
      <w:pPr>
        <w:pStyle w:val="ListParagraph"/>
        <w:spacing w:line="276" w:lineRule="auto"/>
        <w:ind w:left="993"/>
        <w:jc w:val="both"/>
      </w:pPr>
    </w:p>
    <w:p w:rsidR="00D42ED1" w:rsidRPr="007B7BB0" w:rsidRDefault="00D42ED1" w:rsidP="00D42ED1">
      <w:pPr>
        <w:pStyle w:val="ListParagraph"/>
        <w:numPr>
          <w:ilvl w:val="0"/>
          <w:numId w:val="6"/>
        </w:numPr>
        <w:spacing w:after="160" w:line="276" w:lineRule="auto"/>
        <w:ind w:left="993" w:hanging="284"/>
        <w:jc w:val="both"/>
      </w:pPr>
      <w:r>
        <w:t xml:space="preserve">Confidentiality and Secrecy: Hedge funds adhere to the highest norms and standards with respect to the confidentiality of their strategies, reports, etc. This poses a challenge for the public at large to obtain credible data about the performance of the hedge funds.     </w:t>
      </w:r>
    </w:p>
    <w:p w:rsidR="00D42ED1" w:rsidRPr="005F5550" w:rsidRDefault="00D42ED1" w:rsidP="00D42ED1">
      <w:pPr>
        <w:pStyle w:val="ListParagraph"/>
        <w:spacing w:line="276" w:lineRule="auto"/>
        <w:jc w:val="both"/>
        <w:rPr>
          <w:b/>
          <w:bCs/>
        </w:rPr>
      </w:pPr>
    </w:p>
    <w:p w:rsidR="00D42ED1" w:rsidRPr="004A648A" w:rsidRDefault="00D42ED1" w:rsidP="00D42ED1">
      <w:pPr>
        <w:spacing w:line="276" w:lineRule="auto"/>
        <w:jc w:val="both"/>
        <w:rPr>
          <w:b/>
          <w:bCs/>
        </w:rPr>
      </w:pPr>
      <w:r>
        <w:t xml:space="preserve">  </w:t>
      </w:r>
    </w:p>
    <w:p w:rsidR="00D42ED1" w:rsidRDefault="00D42ED1" w:rsidP="00D42ED1">
      <w:r>
        <w:t>Q10</w:t>
      </w:r>
    </w:p>
    <w:p w:rsidR="00D42ED1" w:rsidRDefault="00D42ED1" w:rsidP="00D42ED1">
      <w:r>
        <w:t>ii) There are several limitations and disadvantages of portfolio performance measurement.</w:t>
      </w:r>
    </w:p>
    <w:p w:rsidR="00D42ED1" w:rsidRDefault="00D42ED1" w:rsidP="00D42ED1">
      <w:pPr>
        <w:pStyle w:val="ListParagraph"/>
        <w:numPr>
          <w:ilvl w:val="0"/>
          <w:numId w:val="7"/>
        </w:numPr>
        <w:spacing w:after="160" w:line="259" w:lineRule="auto"/>
      </w:pPr>
      <w:r>
        <w:t>Projection of past results</w:t>
      </w:r>
    </w:p>
    <w:p w:rsidR="00D42ED1" w:rsidRDefault="00D42ED1" w:rsidP="00D42ED1">
      <w:pPr>
        <w:pStyle w:val="ListParagraph"/>
        <w:numPr>
          <w:ilvl w:val="0"/>
          <w:numId w:val="8"/>
        </w:numPr>
        <w:spacing w:after="160" w:line="259" w:lineRule="auto"/>
      </w:pPr>
      <w:r>
        <w:t>The fact that a particular result was attained in the past does not mean that it will occur in the future. There is a random element in investment returns and it may be difficult to determine how much a fund manager's results are due to method and how much to luck. Furthermore, a technique that proved successful in a particular set of circumstances may not work so well in changed circumstances in the future.</w:t>
      </w:r>
    </w:p>
    <w:p w:rsidR="00D42ED1" w:rsidRDefault="00D42ED1" w:rsidP="00D42ED1">
      <w:pPr>
        <w:pStyle w:val="ListParagraph"/>
        <w:numPr>
          <w:ilvl w:val="0"/>
          <w:numId w:val="8"/>
        </w:numPr>
        <w:spacing w:after="160" w:line="259" w:lineRule="auto"/>
      </w:pPr>
      <w:r>
        <w:t>So, past performance may be a poor guide to the future, and it may not be easy to distinguish good luck from skill.</w:t>
      </w:r>
    </w:p>
    <w:p w:rsidR="00D42ED1" w:rsidRDefault="00D42ED1" w:rsidP="00D42ED1">
      <w:pPr>
        <w:pStyle w:val="ListParagraph"/>
        <w:numPr>
          <w:ilvl w:val="0"/>
          <w:numId w:val="7"/>
        </w:numPr>
        <w:spacing w:after="160" w:line="259" w:lineRule="auto"/>
      </w:pPr>
      <w:r>
        <w:t>Risk</w:t>
      </w:r>
    </w:p>
    <w:p w:rsidR="00D42ED1" w:rsidRDefault="00D42ED1" w:rsidP="00D42ED1">
      <w:pPr>
        <w:pStyle w:val="ListParagraph"/>
        <w:numPr>
          <w:ilvl w:val="0"/>
          <w:numId w:val="9"/>
        </w:numPr>
        <w:spacing w:after="160" w:line="259" w:lineRule="auto"/>
      </w:pPr>
      <w:r>
        <w:t>In the long term we would expect a riskier strategy to produce higher average returns. The measurement of relative performance should therefore take account of the degree of risk taken on by a fund manager.</w:t>
      </w:r>
    </w:p>
    <w:p w:rsidR="00D42ED1" w:rsidRDefault="00D42ED1" w:rsidP="00D42ED1">
      <w:pPr>
        <w:pStyle w:val="ListParagraph"/>
        <w:numPr>
          <w:ilvl w:val="0"/>
          <w:numId w:val="9"/>
        </w:numPr>
        <w:spacing w:after="160" w:line="259" w:lineRule="auto"/>
      </w:pPr>
      <w:r>
        <w:t xml:space="preserve">When a fund manager invests largely in high-risk investments. </w:t>
      </w:r>
      <w:proofErr w:type="gramStart"/>
      <w:r>
        <w:t>there</w:t>
      </w:r>
      <w:proofErr w:type="gramEnd"/>
      <w:r>
        <w:t xml:space="preserve"> are likely to be implications for the relative performance of the fund manager in performance measurement tables: </w:t>
      </w:r>
      <w:r>
        <w:sym w:font="Symbol" w:char="F0D8"/>
      </w:r>
      <w:r>
        <w:t xml:space="preserve"> In the very long term, the manager should achieve a higher rate of return. </w:t>
      </w:r>
      <w:r>
        <w:sym w:font="Symbol" w:char="F0D8"/>
      </w:r>
      <w:r>
        <w:t xml:space="preserve"> In short-term periods. </w:t>
      </w:r>
      <w:proofErr w:type="gramStart"/>
      <w:r>
        <w:t>the</w:t>
      </w:r>
      <w:proofErr w:type="gramEnd"/>
      <w:r>
        <w:t xml:space="preserve"> results will probably be more volatile. There may be some periods of excellent results and other periods of very poor results.</w:t>
      </w:r>
    </w:p>
    <w:p w:rsidR="00D42ED1" w:rsidRDefault="00D42ED1" w:rsidP="00D42ED1">
      <w:pPr>
        <w:pStyle w:val="ListParagraph"/>
        <w:numPr>
          <w:ilvl w:val="0"/>
          <w:numId w:val="7"/>
        </w:numPr>
        <w:spacing w:after="160" w:line="259" w:lineRule="auto"/>
      </w:pPr>
      <w:r>
        <w:t>Timescale</w:t>
      </w:r>
    </w:p>
    <w:p w:rsidR="00D42ED1" w:rsidRDefault="00D42ED1" w:rsidP="00D42ED1">
      <w:pPr>
        <w:pStyle w:val="ListParagraph"/>
        <w:numPr>
          <w:ilvl w:val="0"/>
          <w:numId w:val="10"/>
        </w:numPr>
        <w:spacing w:after="160" w:line="259" w:lineRule="auto"/>
      </w:pPr>
      <w:r>
        <w:t>Determining the frequency of performance measurement calculations requires a delicate balance between assessing performance frequently enough so that problems can be spotted and corrected and avoiding spurious conclusions based on too short a measurement period.</w:t>
      </w:r>
    </w:p>
    <w:p w:rsidR="00D42ED1" w:rsidRDefault="00D42ED1" w:rsidP="00D42ED1">
      <w:pPr>
        <w:pStyle w:val="ListParagraph"/>
        <w:numPr>
          <w:ilvl w:val="0"/>
          <w:numId w:val="10"/>
        </w:numPr>
        <w:spacing w:after="160" w:line="259" w:lineRule="auto"/>
      </w:pPr>
      <w:r>
        <w:t xml:space="preserve">It might take five years to obtain data that gives a reliable verdict on a particular fund manager. However. </w:t>
      </w:r>
      <w:proofErr w:type="gramStart"/>
      <w:r>
        <w:t>the</w:t>
      </w:r>
      <w:proofErr w:type="gramEnd"/>
      <w:r>
        <w:t xml:space="preserve"> trustees of a pension fund should not have to wait for five years before they realize that the assets are being poorly managed.</w:t>
      </w:r>
    </w:p>
    <w:p w:rsidR="00D42ED1" w:rsidRDefault="00D42ED1" w:rsidP="00D42ED1">
      <w:pPr>
        <w:pStyle w:val="ListParagraph"/>
        <w:numPr>
          <w:ilvl w:val="0"/>
          <w:numId w:val="10"/>
        </w:numPr>
        <w:spacing w:after="160" w:line="259" w:lineRule="auto"/>
      </w:pPr>
      <w:r>
        <w:t xml:space="preserve">In practice. </w:t>
      </w:r>
      <w:proofErr w:type="gramStart"/>
      <w:r>
        <w:t>may</w:t>
      </w:r>
      <w:proofErr w:type="gramEnd"/>
      <w:r>
        <w:t xml:space="preserve"> pension fund investment valuations are carried out each quarter, with analyses over a variety of periods (e.g. 3 months, 1 year. 3 y ears. 5 years, 10 years).</w:t>
      </w:r>
    </w:p>
    <w:p w:rsidR="00D42ED1" w:rsidRDefault="00D42ED1" w:rsidP="00D42ED1">
      <w:pPr>
        <w:pStyle w:val="ListParagraph"/>
        <w:numPr>
          <w:ilvl w:val="0"/>
          <w:numId w:val="10"/>
        </w:numPr>
        <w:spacing w:after="160" w:line="259" w:lineRule="auto"/>
      </w:pPr>
      <w:r>
        <w:t xml:space="preserve">The users of these analyses therefore have: </w:t>
      </w:r>
      <w:r>
        <w:sym w:font="Symbol" w:char="F0D8"/>
      </w:r>
      <w:r>
        <w:t xml:space="preserve"> the regular data they need to stay informed </w:t>
      </w:r>
      <w:r>
        <w:sym w:font="Symbol" w:char="F0D8"/>
      </w:r>
      <w:r>
        <w:t xml:space="preserve"> the longer-term data to help make </w:t>
      </w:r>
      <w:proofErr w:type="spellStart"/>
      <w:r>
        <w:t>judgements</w:t>
      </w:r>
      <w:proofErr w:type="spellEnd"/>
      <w:r>
        <w:t>.</w:t>
      </w:r>
    </w:p>
    <w:p w:rsidR="00D42ED1" w:rsidRDefault="00D42ED1" w:rsidP="00D42ED1">
      <w:pPr>
        <w:pStyle w:val="ListParagraph"/>
        <w:numPr>
          <w:ilvl w:val="0"/>
          <w:numId w:val="10"/>
        </w:numPr>
        <w:spacing w:after="160" w:line="259" w:lineRule="auto"/>
      </w:pPr>
      <w:r>
        <w:t>They should resist the temptation of making bold conclusions from the very short-term data.</w:t>
      </w:r>
    </w:p>
    <w:p w:rsidR="00D42ED1" w:rsidRDefault="00D42ED1" w:rsidP="00D42ED1">
      <w:pPr>
        <w:pStyle w:val="ListParagraph"/>
        <w:numPr>
          <w:ilvl w:val="0"/>
          <w:numId w:val="7"/>
        </w:numPr>
        <w:spacing w:after="160" w:line="259" w:lineRule="auto"/>
      </w:pPr>
      <w:r>
        <w:t>Differing fund objectives</w:t>
      </w:r>
    </w:p>
    <w:p w:rsidR="00D42ED1" w:rsidRDefault="00D42ED1" w:rsidP="00D42ED1">
      <w:pPr>
        <w:pStyle w:val="ListParagraph"/>
        <w:numPr>
          <w:ilvl w:val="0"/>
          <w:numId w:val="11"/>
        </w:numPr>
        <w:spacing w:after="160" w:line="259" w:lineRule="auto"/>
      </w:pPr>
      <w:r>
        <w:t>Different funds may have different objectives and constraints. Comparisons between such funds may not be valid.</w:t>
      </w:r>
    </w:p>
    <w:p w:rsidR="00D42ED1" w:rsidRDefault="00D42ED1" w:rsidP="00D42ED1">
      <w:pPr>
        <w:pStyle w:val="ListParagraph"/>
        <w:numPr>
          <w:ilvl w:val="0"/>
          <w:numId w:val="11"/>
        </w:numPr>
        <w:spacing w:after="160" w:line="259" w:lineRule="auto"/>
      </w:pPr>
      <w:r>
        <w:t xml:space="preserve">The main difference will often be that the liabilities underlying one fund may differ from those underlying another. There may also be other reasons why different funds cannot be directly compared: </w:t>
      </w:r>
      <w:r>
        <w:sym w:font="Symbol" w:char="F0D8"/>
      </w:r>
      <w:r>
        <w:t xml:space="preserve"> different constraints imposed by the directors or trustees </w:t>
      </w:r>
      <w:r>
        <w:sym w:font="Symbol" w:char="F0D8"/>
      </w:r>
      <w:r>
        <w:t xml:space="preserve"> different taxation positions (</w:t>
      </w:r>
      <w:proofErr w:type="spellStart"/>
      <w:r>
        <w:t>eg</w:t>
      </w:r>
      <w:proofErr w:type="spellEnd"/>
      <w:r>
        <w:t xml:space="preserve"> this may apply for insurance companies where the tax positions may vary from one office to another).</w:t>
      </w:r>
    </w:p>
    <w:p w:rsidR="00D42ED1" w:rsidRDefault="00D42ED1" w:rsidP="00D42ED1">
      <w:pPr>
        <w:pStyle w:val="ListParagraph"/>
        <w:numPr>
          <w:ilvl w:val="0"/>
          <w:numId w:val="11"/>
        </w:numPr>
        <w:spacing w:after="160" w:line="259" w:lineRule="auto"/>
      </w:pPr>
      <w:proofErr w:type="gramStart"/>
      <w:r>
        <w:t>Comparisons between different unit-linked funds and collective investment vehicles is</w:t>
      </w:r>
      <w:proofErr w:type="gramEnd"/>
      <w:r>
        <w:t xml:space="preserve"> clearly sensible only if they have similar investment objectives.</w:t>
      </w:r>
    </w:p>
    <w:p w:rsidR="00D42ED1" w:rsidRDefault="00D42ED1" w:rsidP="00D42ED1">
      <w:pPr>
        <w:pStyle w:val="ListParagraph"/>
        <w:numPr>
          <w:ilvl w:val="0"/>
          <w:numId w:val="11"/>
        </w:numPr>
        <w:spacing w:after="160" w:line="259" w:lineRule="auto"/>
      </w:pPr>
      <w:r>
        <w:t xml:space="preserve">You may also come across "different </w:t>
      </w:r>
      <w:proofErr w:type="spellStart"/>
      <w:r>
        <w:t>cashflow</w:t>
      </w:r>
      <w:proofErr w:type="spellEnd"/>
      <w:r>
        <w:t xml:space="preserve">" and "different size of fund" as reasons why different funds cannot be validly compared. In practice. </w:t>
      </w:r>
      <w:proofErr w:type="gramStart"/>
      <w:r>
        <w:t>these</w:t>
      </w:r>
      <w:proofErr w:type="gramEnd"/>
      <w:r>
        <w:t xml:space="preserve"> two factors should not really invalidate comparison between the investment returns achieved by different.</w:t>
      </w:r>
    </w:p>
    <w:p w:rsidR="00D42ED1" w:rsidRDefault="00D42ED1" w:rsidP="00D42ED1">
      <w:pPr>
        <w:pStyle w:val="ListParagraph"/>
        <w:numPr>
          <w:ilvl w:val="0"/>
          <w:numId w:val="7"/>
        </w:numPr>
        <w:spacing w:after="160" w:line="259" w:lineRule="auto"/>
      </w:pPr>
      <w:r>
        <w:t xml:space="preserve">Impact on fund manager </w:t>
      </w:r>
      <w:proofErr w:type="spellStart"/>
      <w:r>
        <w:t>behaviour</w:t>
      </w:r>
      <w:proofErr w:type="spellEnd"/>
    </w:p>
    <w:p w:rsidR="00D42ED1" w:rsidRDefault="00D42ED1" w:rsidP="00D42ED1">
      <w:pPr>
        <w:pStyle w:val="ListParagraph"/>
        <w:numPr>
          <w:ilvl w:val="0"/>
          <w:numId w:val="12"/>
        </w:numPr>
        <w:spacing w:after="160" w:line="259" w:lineRule="auto"/>
      </w:pPr>
      <w:r>
        <w:t>Knowledge of how and how often he will be assessed is likely to influence the investment strategy of a manager. This may not be in the fund's best interests. For example, frequent monitoring can encourage a short-term approach to investment.</w:t>
      </w:r>
    </w:p>
    <w:p w:rsidR="00D42ED1" w:rsidRDefault="00D42ED1" w:rsidP="00D42ED1">
      <w:pPr>
        <w:pStyle w:val="ListParagraph"/>
        <w:numPr>
          <w:ilvl w:val="0"/>
          <w:numId w:val="12"/>
        </w:numPr>
        <w:spacing w:after="160" w:line="259" w:lineRule="auto"/>
      </w:pPr>
      <w:r>
        <w:t>Some people will argue that this may mean that the long-term performance of the fund could be sacrificed. Others would argue that it is not a problem because the long run is simply a series of short runs.</w:t>
      </w:r>
    </w:p>
    <w:p w:rsidR="00D42ED1" w:rsidRDefault="00D42ED1" w:rsidP="00D42ED1">
      <w:pPr>
        <w:pStyle w:val="ListParagraph"/>
        <w:numPr>
          <w:ilvl w:val="0"/>
          <w:numId w:val="12"/>
        </w:numPr>
        <w:spacing w:after="160" w:line="259" w:lineRule="auto"/>
      </w:pPr>
      <w:r>
        <w:t>More generally, the investment management decisions should be driven entirely a desire to meet the investor's objectives. It is therefore important to ensure that the mandate given to the investment manager is consistent with the investor's objectives.</w:t>
      </w:r>
    </w:p>
    <w:p w:rsidR="00D42ED1" w:rsidRDefault="00D42ED1" w:rsidP="00D42ED1">
      <w:pPr>
        <w:pStyle w:val="ListParagraph"/>
        <w:numPr>
          <w:ilvl w:val="0"/>
          <w:numId w:val="7"/>
        </w:numPr>
        <w:spacing w:after="160" w:line="259" w:lineRule="auto"/>
      </w:pPr>
      <w:r>
        <w:t xml:space="preserve">Cost </w:t>
      </w:r>
    </w:p>
    <w:p w:rsidR="00D42ED1" w:rsidRDefault="00D42ED1" w:rsidP="00D42ED1">
      <w:pPr>
        <w:pStyle w:val="ListParagraph"/>
        <w:numPr>
          <w:ilvl w:val="0"/>
          <w:numId w:val="13"/>
        </w:numPr>
        <w:spacing w:after="160" w:line="259" w:lineRule="auto"/>
      </w:pPr>
      <w:r>
        <w:t>Users of performance measurement services must balance the value of the service against the cost. Also, for several assets leg property), valuation is difficult, time-consuming and very subjective. Detailed, frequent calculations based on subjective valuations are inappropriate.</w:t>
      </w:r>
    </w:p>
    <w:p w:rsidR="00D42ED1" w:rsidRDefault="00D42ED1" w:rsidP="00D42ED1">
      <w:proofErr w:type="gramStart"/>
      <w:r>
        <w:t>(iv) Sharpe</w:t>
      </w:r>
      <w:proofErr w:type="gramEnd"/>
      <w:r>
        <w:t xml:space="preserve"> measures measure out-performance compared to the CAPM per unit risk. </w:t>
      </w:r>
      <w:proofErr w:type="spellStart"/>
      <w:proofErr w:type="gramStart"/>
      <w:r>
        <w:t>ie</w:t>
      </w:r>
      <w:proofErr w:type="spellEnd"/>
      <w:proofErr w:type="gramEnd"/>
      <w:r>
        <w:t xml:space="preserve"> as a proportion of the return predicted by the CAPM. They can therefore be used to compare investment managers who have taken differing levels of risk.</w:t>
      </w:r>
    </w:p>
    <w:p w:rsidR="00D42ED1" w:rsidRDefault="00D42ED1" w:rsidP="00D42ED1">
      <w:pPr>
        <w:rPr>
          <w:rFonts w:ascii="Cambria Math" w:hAnsi="Cambria Math" w:cs="Cambria Math"/>
        </w:rPr>
      </w:pPr>
      <w:r>
        <w:rPr>
          <w:rFonts w:ascii="Cambria Math" w:hAnsi="Cambria Math" w:cs="Cambria Math"/>
        </w:rPr>
        <w:t>𝑺</w:t>
      </w:r>
      <w:r>
        <w:t xml:space="preserve"> = (</w:t>
      </w:r>
      <w:r>
        <w:rPr>
          <w:rFonts w:ascii="Cambria Math" w:hAnsi="Cambria Math" w:cs="Cambria Math"/>
        </w:rPr>
        <w:t>𝑹𝒑</w:t>
      </w:r>
      <w:r>
        <w:t xml:space="preserve"> – </w:t>
      </w:r>
      <w:r>
        <w:rPr>
          <w:rFonts w:ascii="Cambria Math" w:hAnsi="Cambria Math" w:cs="Cambria Math"/>
        </w:rPr>
        <w:t>𝒓)/</w:t>
      </w:r>
      <w:r w:rsidRPr="00DB4C3A">
        <w:rPr>
          <w:rFonts w:ascii="Cambria Math" w:hAnsi="Cambria Math" w:cs="Cambria Math"/>
        </w:rPr>
        <w:t xml:space="preserve"> </w:t>
      </w:r>
      <w:r>
        <w:rPr>
          <w:rFonts w:ascii="Cambria Math" w:hAnsi="Cambria Math" w:cs="Cambria Math"/>
        </w:rPr>
        <w:t>𝝈𝒑</w:t>
      </w:r>
    </w:p>
    <w:p w:rsidR="00D42ED1" w:rsidRDefault="00D42ED1" w:rsidP="00D42ED1">
      <w:r>
        <w:t xml:space="preserve">Where </w:t>
      </w:r>
      <w:r>
        <w:rPr>
          <w:rFonts w:ascii="Cambria Math" w:hAnsi="Cambria Math" w:cs="Cambria Math"/>
        </w:rPr>
        <w:t>𝜎𝑝</w:t>
      </w:r>
      <w:r>
        <w:t xml:space="preserve"> is the standard deviation of the portfolio, and the other terms are as defined above.</w:t>
      </w:r>
    </w:p>
    <w:p w:rsidR="00D42ED1" w:rsidRDefault="00D42ED1" w:rsidP="00D42ED1"/>
    <w:p w:rsidR="00D42ED1" w:rsidRDefault="00D42ED1" w:rsidP="00D42ED1"/>
    <w:p w:rsidR="00D42ED1" w:rsidRDefault="00D42ED1" w:rsidP="00D42ED1"/>
    <w:p w:rsidR="00D42ED1" w:rsidRDefault="00D42ED1" w:rsidP="00D42ED1"/>
    <w:p w:rsidR="00D42ED1" w:rsidRDefault="00D42ED1" w:rsidP="00D42ED1"/>
    <w:p w:rsidR="00D42ED1" w:rsidRDefault="00D42ED1" w:rsidP="00D42ED1">
      <w:bookmarkStart w:id="0" w:name="_GoBack"/>
      <w:bookmarkEnd w:id="0"/>
    </w:p>
    <w:sectPr w:rsidR="00D42ED1" w:rsidSect="0095114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92A"/>
    <w:multiLevelType w:val="hybridMultilevel"/>
    <w:tmpl w:val="B30EC2EA"/>
    <w:lvl w:ilvl="0" w:tplc="396C59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622021"/>
    <w:multiLevelType w:val="hybridMultilevel"/>
    <w:tmpl w:val="899821BA"/>
    <w:lvl w:ilvl="0" w:tplc="24A2C22C">
      <w:start w:val="8"/>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7527DE"/>
    <w:multiLevelType w:val="hybridMultilevel"/>
    <w:tmpl w:val="7D72249C"/>
    <w:lvl w:ilvl="0" w:tplc="479CB4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103F0B"/>
    <w:multiLevelType w:val="hybridMultilevel"/>
    <w:tmpl w:val="E3D86968"/>
    <w:lvl w:ilvl="0" w:tplc="979A7466">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121E48"/>
    <w:multiLevelType w:val="hybridMultilevel"/>
    <w:tmpl w:val="FD762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A47ECD"/>
    <w:multiLevelType w:val="hybridMultilevel"/>
    <w:tmpl w:val="5B7AE738"/>
    <w:lvl w:ilvl="0" w:tplc="9306B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747105"/>
    <w:multiLevelType w:val="hybridMultilevel"/>
    <w:tmpl w:val="C6E0F826"/>
    <w:lvl w:ilvl="0" w:tplc="5EA660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C63268"/>
    <w:multiLevelType w:val="hybridMultilevel"/>
    <w:tmpl w:val="DF2AF4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5E176885"/>
    <w:multiLevelType w:val="hybridMultilevel"/>
    <w:tmpl w:val="EF1EEAA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9">
    <w:nsid w:val="6AAF0313"/>
    <w:multiLevelType w:val="hybridMultilevel"/>
    <w:tmpl w:val="ADF63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487657"/>
    <w:multiLevelType w:val="hybridMultilevel"/>
    <w:tmpl w:val="97565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556245C"/>
    <w:multiLevelType w:val="hybridMultilevel"/>
    <w:tmpl w:val="40A8C434"/>
    <w:lvl w:ilvl="0" w:tplc="FE72EE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4416FE"/>
    <w:multiLevelType w:val="hybridMultilevel"/>
    <w:tmpl w:val="EC60BB68"/>
    <w:lvl w:ilvl="0" w:tplc="DA6ABA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8"/>
  </w:num>
  <w:num w:numId="4">
    <w:abstractNumId w:val="1"/>
  </w:num>
  <w:num w:numId="5">
    <w:abstractNumId w:val="10"/>
  </w:num>
  <w:num w:numId="6">
    <w:abstractNumId w:val="7"/>
  </w:num>
  <w:num w:numId="7">
    <w:abstractNumId w:val="9"/>
  </w:num>
  <w:num w:numId="8">
    <w:abstractNumId w:val="11"/>
  </w:num>
  <w:num w:numId="9">
    <w:abstractNumId w:val="5"/>
  </w:num>
  <w:num w:numId="10">
    <w:abstractNumId w:val="6"/>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44"/>
    <w:rsid w:val="00065419"/>
    <w:rsid w:val="001E19D2"/>
    <w:rsid w:val="00296D3B"/>
    <w:rsid w:val="00344CC3"/>
    <w:rsid w:val="00463295"/>
    <w:rsid w:val="0095114A"/>
    <w:rsid w:val="00D42ED1"/>
    <w:rsid w:val="00DB4444"/>
    <w:rsid w:val="00F627F1"/>
    <w:rsid w:val="00F8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0526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2211</Words>
  <Characters>12609</Characters>
  <Application>Microsoft Macintosh Word</Application>
  <DocSecurity>0</DocSecurity>
  <Lines>105</Lines>
  <Paragraphs>29</Paragraphs>
  <ScaleCrop>false</ScaleCrop>
  <Company/>
  <LinksUpToDate>false</LinksUpToDate>
  <CharactersWithSpaces>14791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2022-04-14T14:11:00Z</dcterms:created>
  <dcterms:modified xsi:type="dcterms:W3CDTF">2022-04-14T17:20:00Z</dcterms:modified>
</cp:coreProperties>
</file>