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F09E" w14:textId="0FBF0626" w:rsidR="006D435B" w:rsidRDefault="006639D1" w:rsidP="00B81AAF">
      <w:pPr>
        <w:pStyle w:val="Heading1"/>
        <w:spacing w:after="3000"/>
      </w:pPr>
      <w:r>
        <w:t>Hedges</w:t>
      </w:r>
    </w:p>
    <w:p w14:paraId="697DB5F6" w14:textId="09DA035B" w:rsidR="006D435B" w:rsidRDefault="006639D1">
      <w:pPr>
        <w:pStyle w:val="Heading2"/>
      </w:pPr>
      <w:r>
        <w:t>What are Hedges?</w:t>
      </w:r>
    </w:p>
    <w:p w14:paraId="16BA9309" w14:textId="08012FCF" w:rsidR="006D435B" w:rsidRDefault="006639D1">
      <w:pPr>
        <w:pStyle w:val="BlockText"/>
      </w:pPr>
      <w:r w:rsidRPr="006639D1">
        <w:t>A hedge is an investment that is made with the intention of reducing the risk of adverse price movements in an asset. Normally, a hedge consists of taking an offsetting or opposite position in a related security.</w:t>
      </w:r>
    </w:p>
    <w:p w14:paraId="53D247A2" w14:textId="77777777" w:rsidR="00B81AAF" w:rsidRDefault="00B81AAF" w:rsidP="00B81AAF">
      <w:r w:rsidRPr="00B81AAF">
        <w:t>Hedging is somewhat analogous to taking out an insurance policy.</w:t>
      </w:r>
      <w:r>
        <w:t xml:space="preserve"> </w:t>
      </w:r>
      <w:r w:rsidRPr="00B81AAF">
        <w:t>If you own a home in a flood-prone area, you will want to protect that asset from the risk of flooding—to hedge it, in other words—by taking out flood insurance. In this example, you cannot prevent a flood, but you can plan ahead of time to mitigate the dangers in the event that a flood did occur.</w:t>
      </w:r>
    </w:p>
    <w:p w14:paraId="47FF2458" w14:textId="39C8140E" w:rsidR="006D435B" w:rsidRDefault="006639D1">
      <w:pPr>
        <w:pStyle w:val="Quote"/>
      </w:pPr>
      <w:r>
        <w:t>“</w:t>
      </w:r>
      <w:r w:rsidRPr="006639D1">
        <w:t>There is a risk-reward tradeoff inherent in hedging</w:t>
      </w:r>
      <w:r>
        <w:t>”</w:t>
      </w:r>
    </w:p>
    <w:p w14:paraId="33A61978" w14:textId="56CC325D" w:rsidR="00B81AAF" w:rsidRDefault="00B81AAF" w:rsidP="00B81AAF">
      <w:r w:rsidRPr="00B81AAF">
        <w:t>Put simply, hedging isn't free. In the case of the flood insurance policy example, the monthly payments add up, and if the flood never comes, the policyholder receives no payout. Still, most people would choose to take that predictable, circumscribed loss rather than suddenly lose the roof over their head.</w:t>
      </w:r>
    </w:p>
    <w:p w14:paraId="72B50CB9" w14:textId="358511CB" w:rsidR="00DA1A0F" w:rsidRDefault="00DA1A0F" w:rsidP="00B81AAF">
      <w:r w:rsidRPr="00DA1A0F">
        <w:lastRenderedPageBreak/>
        <w:t>In the investment world, hedging works in the same way. Investors and money managers use hedging practices to reduce and control their exposure to risks. In order to appropriately hedge in the investment world, one must use various instruments in a strategic fashion to offset the risk of adverse price movements in the market.</w:t>
      </w:r>
    </w:p>
    <w:p w14:paraId="4D086FBD" w14:textId="53D6F364" w:rsidR="00542770" w:rsidRDefault="00542770" w:rsidP="00B81AAF">
      <w:r w:rsidRPr="00542770">
        <w:t>A hedge can be constructed from many types of financial instruments, including stocks, exchange-traded funds, insurance, forward contracts, swaps, options, gambles, many types of over-the-counter and derivative products, and futures contracts.</w:t>
      </w:r>
    </w:p>
    <w:p w14:paraId="404BBA94" w14:textId="3438E204" w:rsidR="006D435B" w:rsidRDefault="00542770">
      <w:pPr>
        <w:pStyle w:val="Heading2"/>
      </w:pPr>
      <w:r>
        <w:t xml:space="preserve">Hedging with </w:t>
      </w:r>
      <w:r w:rsidR="00B67EB4">
        <w:t>Futures</w:t>
      </w:r>
      <w:r>
        <w:t xml:space="preserve"> and Options</w:t>
      </w:r>
      <w:r w:rsidR="00DA1A0F">
        <w:t xml:space="preserve"> </w:t>
      </w:r>
    </w:p>
    <w:p w14:paraId="5A2D9EE2" w14:textId="59D1E62C" w:rsidR="00542770" w:rsidRPr="00542770" w:rsidRDefault="00542770" w:rsidP="00542770">
      <w:pPr>
        <w:pStyle w:val="ListBullet"/>
      </w:pPr>
      <w:r w:rsidRPr="00542770">
        <w:t>Options are financial derivatives that give buyers the right, but not the obligation, to buy or sell an underlying asset at an agreed-upon price and date.</w:t>
      </w:r>
    </w:p>
    <w:p w14:paraId="76BC11AD" w14:textId="77777777" w:rsidR="00F1653E" w:rsidRPr="00F1653E" w:rsidRDefault="00F1653E" w:rsidP="00542770">
      <w:pPr>
        <w:pStyle w:val="ListBullet"/>
        <w:rPr>
          <w:lang w:val="en-IN" w:eastAsia="en-IN"/>
        </w:rPr>
      </w:pPr>
      <w:r w:rsidRPr="00F1653E">
        <w:t>Futures are derivative financial contracts that obligate the parties to transact an asset at a predetermined future date and price.</w:t>
      </w:r>
    </w:p>
    <w:p w14:paraId="41109147" w14:textId="4AE97E28" w:rsidR="00B67EB4" w:rsidRPr="0009303C" w:rsidRDefault="00542770" w:rsidP="0009303C">
      <w:pPr>
        <w:pStyle w:val="ListBullet"/>
        <w:rPr>
          <w:lang w:val="en-IN" w:eastAsia="en-IN"/>
        </w:rPr>
      </w:pPr>
      <w:r w:rsidRPr="00542770">
        <w:rPr>
          <w:lang w:val="en-IN" w:eastAsia="en-IN"/>
        </w:rPr>
        <w:t xml:space="preserve">The big difference between a </w:t>
      </w:r>
      <w:r w:rsidR="00F1653E">
        <w:rPr>
          <w:lang w:val="en-IN" w:eastAsia="en-IN"/>
        </w:rPr>
        <w:t>futures and options are that futures</w:t>
      </w:r>
      <w:r w:rsidRPr="00542770">
        <w:rPr>
          <w:lang w:val="en-IN" w:eastAsia="en-IN"/>
        </w:rPr>
        <w:t xml:space="preserve"> are obligatory.</w:t>
      </w:r>
    </w:p>
    <w:tbl>
      <w:tblPr>
        <w:tblStyle w:val="ModernPaper"/>
        <w:tblW w:w="5000" w:type="pct"/>
        <w:tblLook w:val="04A0" w:firstRow="1" w:lastRow="0" w:firstColumn="1" w:lastColumn="0" w:noHBand="0" w:noVBand="1"/>
        <w:tblDescription w:val="Content table"/>
      </w:tblPr>
      <w:tblGrid>
        <w:gridCol w:w="3358"/>
        <w:gridCol w:w="3361"/>
        <w:gridCol w:w="3361"/>
      </w:tblGrid>
      <w:tr w:rsidR="006D435B" w14:paraId="088A0999" w14:textId="77777777" w:rsidTr="006D4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vAlign w:val="bottom"/>
          </w:tcPr>
          <w:p w14:paraId="56137161" w14:textId="77777777" w:rsidR="006D435B" w:rsidRDefault="006D435B"/>
        </w:tc>
        <w:tc>
          <w:tcPr>
            <w:tcW w:w="1667" w:type="pct"/>
            <w:vAlign w:val="bottom"/>
          </w:tcPr>
          <w:p w14:paraId="42F170C0" w14:textId="5927925E" w:rsidR="006D435B" w:rsidRDefault="00F1653E">
            <w:pPr>
              <w:cnfStyle w:val="100000000000" w:firstRow="1" w:lastRow="0" w:firstColumn="0" w:lastColumn="0" w:oddVBand="0" w:evenVBand="0" w:oddHBand="0" w:evenHBand="0" w:firstRowFirstColumn="0" w:firstRowLastColumn="0" w:lastRowFirstColumn="0" w:lastRowLastColumn="0"/>
            </w:pPr>
            <w:r w:rsidRPr="00F1653E">
              <w:t>Price increase</w:t>
            </w:r>
          </w:p>
        </w:tc>
        <w:tc>
          <w:tcPr>
            <w:tcW w:w="1667" w:type="pct"/>
            <w:vAlign w:val="bottom"/>
          </w:tcPr>
          <w:p w14:paraId="437F5FC6" w14:textId="7F812D5B" w:rsidR="006D435B" w:rsidRDefault="00F1653E">
            <w:pPr>
              <w:cnfStyle w:val="100000000000" w:firstRow="1" w:lastRow="0" w:firstColumn="0" w:lastColumn="0" w:oddVBand="0" w:evenVBand="0" w:oddHBand="0" w:evenHBand="0" w:firstRowFirstColumn="0" w:firstRowLastColumn="0" w:lastRowFirstColumn="0" w:lastRowLastColumn="0"/>
            </w:pPr>
            <w:r w:rsidRPr="00F1653E">
              <w:t>Price decrease</w:t>
            </w:r>
          </w:p>
        </w:tc>
      </w:tr>
      <w:tr w:rsidR="00F1653E" w14:paraId="5E95FB96" w14:textId="77777777" w:rsidTr="001A7E2D">
        <w:tc>
          <w:tcPr>
            <w:cnfStyle w:val="001000000000" w:firstRow="0" w:lastRow="0" w:firstColumn="1" w:lastColumn="0" w:oddVBand="0" w:evenVBand="0" w:oddHBand="0" w:evenHBand="0" w:firstRowFirstColumn="0" w:firstRowLastColumn="0" w:lastRowFirstColumn="0" w:lastRowLastColumn="0"/>
            <w:tcW w:w="1666" w:type="pct"/>
            <w:vAlign w:val="top"/>
          </w:tcPr>
          <w:p w14:paraId="329EDDD1" w14:textId="344B8500" w:rsidR="00F1653E" w:rsidRDefault="00F1653E" w:rsidP="00F1653E">
            <w:r w:rsidRPr="00513E9E">
              <w:t xml:space="preserve">Futures hedge (short) </w:t>
            </w:r>
          </w:p>
        </w:tc>
        <w:tc>
          <w:tcPr>
            <w:tcW w:w="1667" w:type="pct"/>
            <w:vAlign w:val="top"/>
          </w:tcPr>
          <w:p w14:paraId="13B06D5A" w14:textId="6195F6C5" w:rsidR="00F1653E" w:rsidRDefault="00F1653E" w:rsidP="00F1653E">
            <w:pPr>
              <w:cnfStyle w:val="000000000000" w:firstRow="0" w:lastRow="0" w:firstColumn="0" w:lastColumn="0" w:oddVBand="0" w:evenVBand="0" w:oddHBand="0" w:evenHBand="0" w:firstRowFirstColumn="0" w:firstRowLastColumn="0" w:lastRowFirstColumn="0" w:lastRowLastColumn="0"/>
            </w:pPr>
            <w:r w:rsidRPr="00513E9E">
              <w:t xml:space="preserve">Loss potential if futures hedge doesn’t cover cash changes </w:t>
            </w:r>
          </w:p>
        </w:tc>
        <w:tc>
          <w:tcPr>
            <w:tcW w:w="1667" w:type="pct"/>
            <w:vAlign w:val="top"/>
          </w:tcPr>
          <w:p w14:paraId="725FC1AD" w14:textId="5128C1FA" w:rsidR="00F1653E" w:rsidRDefault="00F1653E" w:rsidP="00F1653E">
            <w:pPr>
              <w:cnfStyle w:val="000000000000" w:firstRow="0" w:lastRow="0" w:firstColumn="0" w:lastColumn="0" w:oddVBand="0" w:evenVBand="0" w:oddHBand="0" w:evenHBand="0" w:firstRowFirstColumn="0" w:firstRowLastColumn="0" w:lastRowFirstColumn="0" w:lastRowLastColumn="0"/>
            </w:pPr>
            <w:r w:rsidRPr="00513E9E">
              <w:t xml:space="preserve">Gain potential especially if basis strengthens </w:t>
            </w:r>
          </w:p>
        </w:tc>
      </w:tr>
      <w:tr w:rsidR="006D435B" w14:paraId="3E540093"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3AE19F81" w14:textId="0CF45DDB" w:rsidR="006D435B" w:rsidRDefault="00F1653E">
            <w:r w:rsidRPr="00F1653E">
              <w:t>Options: put</w:t>
            </w:r>
          </w:p>
        </w:tc>
        <w:tc>
          <w:tcPr>
            <w:tcW w:w="1667" w:type="pct"/>
          </w:tcPr>
          <w:p w14:paraId="7CB0F4EC" w14:textId="4CA80942" w:rsidR="006D435B" w:rsidRDefault="00F1653E" w:rsidP="00F1653E">
            <w:pPr>
              <w:cnfStyle w:val="000000000000" w:firstRow="0" w:lastRow="0" w:firstColumn="0" w:lastColumn="0" w:oddVBand="0" w:evenVBand="0" w:oddHBand="0" w:evenHBand="0" w:firstRowFirstColumn="0" w:firstRowLastColumn="0" w:lastRowFirstColumn="0" w:lastRowLastColumn="0"/>
            </w:pPr>
            <w:r>
              <w:t>Infinite gain minus the</w:t>
            </w:r>
            <w:r w:rsidR="0009303C">
              <w:t xml:space="preserve"> </w:t>
            </w:r>
            <w:r>
              <w:t>premium</w:t>
            </w:r>
          </w:p>
        </w:tc>
        <w:tc>
          <w:tcPr>
            <w:tcW w:w="1667" w:type="pct"/>
          </w:tcPr>
          <w:p w14:paraId="2BB0F281" w14:textId="47D48050" w:rsidR="006D435B" w:rsidRDefault="00F1653E" w:rsidP="00F1653E">
            <w:pPr>
              <w:cnfStyle w:val="000000000000" w:firstRow="0" w:lastRow="0" w:firstColumn="0" w:lastColumn="0" w:oddVBand="0" w:evenVBand="0" w:oddHBand="0" w:evenHBand="0" w:firstRowFirstColumn="0" w:firstRowLastColumn="0" w:lastRowFirstColumn="0" w:lastRowLastColumn="0"/>
            </w:pPr>
            <w:r>
              <w:t>Gain on futures in</w:t>
            </w:r>
            <w:r w:rsidR="0009303C">
              <w:t xml:space="preserve"> </w:t>
            </w:r>
            <w:r>
              <w:t>amount of floor price</w:t>
            </w:r>
          </w:p>
        </w:tc>
      </w:tr>
      <w:tr w:rsidR="00DD0931" w14:paraId="531E00D5"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10BDD4B5" w14:textId="2CD97EAC" w:rsidR="00F1653E" w:rsidRDefault="00F1653E" w:rsidP="00F1653E">
            <w:r>
              <w:t>Futures hedge</w:t>
            </w:r>
          </w:p>
          <w:p w14:paraId="37A6ECB5" w14:textId="2EDD449B" w:rsidR="00DD0931" w:rsidRDefault="00F1653E" w:rsidP="00F1653E">
            <w:r>
              <w:t>(long)</w:t>
            </w:r>
          </w:p>
        </w:tc>
        <w:tc>
          <w:tcPr>
            <w:tcW w:w="1667" w:type="pct"/>
          </w:tcPr>
          <w:p w14:paraId="19D3A569" w14:textId="34B02E36" w:rsidR="00DD0931" w:rsidRDefault="00F1653E" w:rsidP="0009303C">
            <w:pPr>
              <w:cnfStyle w:val="000000000000" w:firstRow="0" w:lastRow="0" w:firstColumn="0" w:lastColumn="0" w:oddVBand="0" w:evenVBand="0" w:oddHBand="0" w:evenHBand="0" w:firstRowFirstColumn="0" w:firstRowLastColumn="0" w:lastRowFirstColumn="0" w:lastRowLastColumn="0"/>
            </w:pPr>
            <w:r w:rsidRPr="00F1653E">
              <w:t>Gain potential</w:t>
            </w:r>
            <w:r w:rsidR="0009303C">
              <w:t xml:space="preserve"> </w:t>
            </w:r>
            <w:r w:rsidRPr="00F1653E">
              <w:t>especially if basis</w:t>
            </w:r>
            <w:r w:rsidR="0009303C">
              <w:t xml:space="preserve"> </w:t>
            </w:r>
            <w:r w:rsidRPr="00F1653E">
              <w:t>weakens</w:t>
            </w:r>
          </w:p>
        </w:tc>
        <w:tc>
          <w:tcPr>
            <w:tcW w:w="1667" w:type="pct"/>
          </w:tcPr>
          <w:p w14:paraId="677D75D3" w14:textId="7A328F9B" w:rsidR="00DD0931" w:rsidRDefault="0009303C" w:rsidP="0009303C">
            <w:pPr>
              <w:cnfStyle w:val="000000000000" w:firstRow="0" w:lastRow="0" w:firstColumn="0" w:lastColumn="0" w:oddVBand="0" w:evenVBand="0" w:oddHBand="0" w:evenHBand="0" w:firstRowFirstColumn="0" w:firstRowLastColumn="0" w:lastRowFirstColumn="0" w:lastRowLastColumn="0"/>
            </w:pPr>
            <w:r>
              <w:t>Loss potential if futures hedge doesn’t cover cash changers</w:t>
            </w:r>
          </w:p>
        </w:tc>
      </w:tr>
      <w:tr w:rsidR="0009303C" w14:paraId="58411F56"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357A391E" w14:textId="67154B41" w:rsidR="0009303C" w:rsidRDefault="0009303C" w:rsidP="00F1653E">
            <w:r w:rsidRPr="0009303C">
              <w:t>Options: call</w:t>
            </w:r>
          </w:p>
        </w:tc>
        <w:tc>
          <w:tcPr>
            <w:tcW w:w="1667" w:type="pct"/>
          </w:tcPr>
          <w:p w14:paraId="2CEDF922" w14:textId="09E518B4" w:rsidR="0009303C" w:rsidRPr="00F1653E" w:rsidRDefault="0009303C" w:rsidP="0009303C">
            <w:pPr>
              <w:cnfStyle w:val="000000000000" w:firstRow="0" w:lastRow="0" w:firstColumn="0" w:lastColumn="0" w:oddVBand="0" w:evenVBand="0" w:oddHBand="0" w:evenHBand="0" w:firstRowFirstColumn="0" w:firstRowLastColumn="0" w:lastRowFirstColumn="0" w:lastRowLastColumn="0"/>
            </w:pPr>
            <w:r>
              <w:t>Gain on futures in amount of ceiling price</w:t>
            </w:r>
          </w:p>
        </w:tc>
        <w:tc>
          <w:tcPr>
            <w:tcW w:w="1667" w:type="pct"/>
          </w:tcPr>
          <w:p w14:paraId="407B60E6" w14:textId="2A3C26CC" w:rsidR="0009303C" w:rsidRDefault="0009303C" w:rsidP="0009303C">
            <w:pPr>
              <w:cnfStyle w:val="000000000000" w:firstRow="0" w:lastRow="0" w:firstColumn="0" w:lastColumn="0" w:oddVBand="0" w:evenVBand="0" w:oddHBand="0" w:evenHBand="0" w:firstRowFirstColumn="0" w:firstRowLastColumn="0" w:lastRowFirstColumn="0" w:lastRowLastColumn="0"/>
            </w:pPr>
            <w:r>
              <w:t>Infinite gain minus the premium</w:t>
            </w:r>
          </w:p>
        </w:tc>
      </w:tr>
      <w:tr w:rsidR="0009303C" w14:paraId="0222853B"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555C0088" w14:textId="77777777" w:rsidR="0009303C" w:rsidRDefault="0009303C" w:rsidP="00F1653E"/>
        </w:tc>
        <w:tc>
          <w:tcPr>
            <w:tcW w:w="1667" w:type="pct"/>
          </w:tcPr>
          <w:p w14:paraId="458D3686" w14:textId="77777777" w:rsidR="0009303C" w:rsidRPr="00F1653E" w:rsidRDefault="0009303C" w:rsidP="00F1653E">
            <w:pPr>
              <w:jc w:val="right"/>
              <w:cnfStyle w:val="000000000000" w:firstRow="0" w:lastRow="0" w:firstColumn="0" w:lastColumn="0" w:oddVBand="0" w:evenVBand="0" w:oddHBand="0" w:evenHBand="0" w:firstRowFirstColumn="0" w:firstRowLastColumn="0" w:lastRowFirstColumn="0" w:lastRowLastColumn="0"/>
            </w:pPr>
          </w:p>
        </w:tc>
        <w:tc>
          <w:tcPr>
            <w:tcW w:w="1667" w:type="pct"/>
          </w:tcPr>
          <w:p w14:paraId="557199B5" w14:textId="77777777" w:rsidR="0009303C" w:rsidRDefault="0009303C" w:rsidP="0009303C">
            <w:pPr>
              <w:cnfStyle w:val="000000000000" w:firstRow="0" w:lastRow="0" w:firstColumn="0" w:lastColumn="0" w:oddVBand="0" w:evenVBand="0" w:oddHBand="0" w:evenHBand="0" w:firstRowFirstColumn="0" w:firstRowLastColumn="0" w:lastRowFirstColumn="0" w:lastRowLastColumn="0"/>
            </w:pPr>
          </w:p>
        </w:tc>
      </w:tr>
    </w:tbl>
    <w:p w14:paraId="6B7FE825" w14:textId="140DE634" w:rsidR="004F64F0" w:rsidRDefault="000E061A" w:rsidP="004F64F0">
      <w:pPr>
        <w:pStyle w:val="Heading2"/>
      </w:pPr>
      <w:r>
        <w:lastRenderedPageBreak/>
        <w:t>Statement</w:t>
      </w:r>
      <w:r w:rsidR="004F64F0">
        <w:t xml:space="preserve"> 1</w:t>
      </w:r>
    </w:p>
    <w:p w14:paraId="74450DB6" w14:textId="15C79727" w:rsidR="00972FDB" w:rsidRPr="00972FDB" w:rsidRDefault="00972FDB" w:rsidP="00972FDB">
      <w:pPr>
        <w:rPr>
          <w:sz w:val="28"/>
          <w:szCs w:val="28"/>
        </w:rPr>
      </w:pPr>
      <w:r>
        <w:rPr>
          <w:sz w:val="28"/>
          <w:szCs w:val="28"/>
        </w:rPr>
        <w:t>“</w:t>
      </w:r>
      <w:r w:rsidRPr="00972FDB">
        <w:rPr>
          <w:sz w:val="28"/>
          <w:szCs w:val="28"/>
        </w:rPr>
        <w:t>Hedging using futures can potentially eliminate volatility for any movement in underlying</w:t>
      </w:r>
      <w:r>
        <w:rPr>
          <w:sz w:val="28"/>
          <w:szCs w:val="28"/>
        </w:rPr>
        <w:t xml:space="preserve"> </w:t>
      </w:r>
      <w:r w:rsidRPr="00972FDB">
        <w:rPr>
          <w:sz w:val="28"/>
          <w:szCs w:val="28"/>
        </w:rPr>
        <w:t>hedged item</w:t>
      </w:r>
      <w:r>
        <w:rPr>
          <w:sz w:val="28"/>
          <w:szCs w:val="28"/>
        </w:rPr>
        <w:t>”</w:t>
      </w:r>
    </w:p>
    <w:p w14:paraId="5975CB8C" w14:textId="20783BE1" w:rsidR="004F64F0" w:rsidRDefault="00657386" w:rsidP="00782F0E">
      <w:r w:rsidRPr="00657386">
        <w:t xml:space="preserve">In order to </w:t>
      </w:r>
      <w:r w:rsidR="004F64F0">
        <w:t>eliminate volatility in any kind of movement in the underlying item (perfect hedge),</w:t>
      </w:r>
      <w:r w:rsidRPr="00657386">
        <w:t xml:space="preserve"> </w:t>
      </w:r>
      <w:r>
        <w:t>Futures position</w:t>
      </w:r>
      <w:r w:rsidRPr="00657386">
        <w:t xml:space="preserve"> would need to have a 100% inverse correlation to the initial position</w:t>
      </w:r>
      <w:r w:rsidR="004F64F0">
        <w:t>. This means that your net position would be zero.</w:t>
      </w:r>
    </w:p>
    <w:p w14:paraId="1526ADA5" w14:textId="14FAB179" w:rsidR="004F64F0" w:rsidRDefault="004F64F0" w:rsidP="00782F0E">
      <w:r>
        <w:t xml:space="preserve">For e.g., if your underlying asset costs 100$, you should short 100$ worth of the asset. So even if the </w:t>
      </w:r>
      <w:r w:rsidR="00F83D04">
        <w:t>asset</w:t>
      </w:r>
      <w:r>
        <w:t xml:space="preserve"> price falls to 70$ and your asset will be worth 30$ less, you will earn 30$ from your short position hence maintaining the total value of your portfolio.</w:t>
      </w:r>
      <w:r w:rsidR="00972FDB">
        <w:t xml:space="preserve"> </w:t>
      </w:r>
    </w:p>
    <w:p w14:paraId="655A4CB2" w14:textId="4E0A5F13" w:rsidR="00972FDB" w:rsidRDefault="00972FDB" w:rsidP="00782F0E">
      <w:r>
        <w:t>However, since your net position is now 0, you will not earn any profit even if the price of the underlying asset increases since you would be making a loss on the short position.</w:t>
      </w:r>
    </w:p>
    <w:p w14:paraId="36C9EB7A" w14:textId="31FD36B4" w:rsidR="004F64F0" w:rsidRDefault="004F64F0" w:rsidP="004F64F0">
      <w:pPr>
        <w:pStyle w:val="Heading2"/>
      </w:pPr>
      <w:r>
        <w:t>Statement 2</w:t>
      </w:r>
    </w:p>
    <w:p w14:paraId="5A285521" w14:textId="61B39C50" w:rsidR="00972FDB" w:rsidRDefault="00972FDB" w:rsidP="00972FDB">
      <w:pPr>
        <w:rPr>
          <w:sz w:val="28"/>
          <w:szCs w:val="28"/>
        </w:rPr>
      </w:pPr>
      <w:r>
        <w:rPr>
          <w:sz w:val="28"/>
          <w:szCs w:val="28"/>
        </w:rPr>
        <w:t>“</w:t>
      </w:r>
      <w:r w:rsidRPr="00972FDB">
        <w:rPr>
          <w:sz w:val="28"/>
          <w:szCs w:val="28"/>
        </w:rPr>
        <w:t>Hedging using options can eliminate the downside volatility of the price movement in th</w:t>
      </w:r>
      <w:r>
        <w:rPr>
          <w:sz w:val="28"/>
          <w:szCs w:val="28"/>
        </w:rPr>
        <w:t xml:space="preserve">e </w:t>
      </w:r>
      <w:r w:rsidRPr="00972FDB">
        <w:rPr>
          <w:sz w:val="28"/>
          <w:szCs w:val="28"/>
        </w:rPr>
        <w:t>underlying asset at an associated cost.</w:t>
      </w:r>
      <w:r>
        <w:rPr>
          <w:sz w:val="28"/>
          <w:szCs w:val="28"/>
        </w:rPr>
        <w:t>”</w:t>
      </w:r>
    </w:p>
    <w:p w14:paraId="570D1C83" w14:textId="740323EB" w:rsidR="00972FDB" w:rsidRDefault="00972FDB" w:rsidP="00972FDB">
      <w:r>
        <w:t xml:space="preserve">To eliminate downside volatility in the Underlying asset, </w:t>
      </w:r>
      <w:r w:rsidR="00F83D04">
        <w:t>you would need to buy a put option with the same strike price as the current price of the underlying asset.</w:t>
      </w:r>
    </w:p>
    <w:p w14:paraId="19E43A30" w14:textId="35A7034E" w:rsidR="00F83D04" w:rsidRDefault="00F83D04" w:rsidP="00972FDB">
      <w:r>
        <w:t>For e.g., if your underlying asset costs 100$, you should buy a put option with a strike price of 100$. So even if the asset price falls to 70$ and your asset will be worth 30$ less, you can still sell the asset for 100$ by exercising the option and hence maintaining the total value of your portfolio and since your total position is not 0, you will still be able to take advantage of the Upside volatility.</w:t>
      </w:r>
    </w:p>
    <w:p w14:paraId="63369CE7" w14:textId="7A5316CE" w:rsidR="00F83D04" w:rsidRDefault="00F83D04" w:rsidP="00972FDB">
      <w:r>
        <w:t>However, you have to pay premium as a part of the options contract</w:t>
      </w:r>
      <w:r w:rsidR="00FE0F2F">
        <w:t>. You will be able to make a net profit only if the rise in the price of the underlying asset is higher than the premium paid.</w:t>
      </w:r>
    </w:p>
    <w:p w14:paraId="609ED372" w14:textId="4553ACBB" w:rsidR="005D2882" w:rsidRDefault="005D2882" w:rsidP="00972FDB"/>
    <w:p w14:paraId="36166AE9" w14:textId="1510327B" w:rsidR="005D2882" w:rsidRDefault="005D2882" w:rsidP="00972FDB"/>
    <w:p w14:paraId="296D5740" w14:textId="0846B159" w:rsidR="005D2882" w:rsidRDefault="005D2882" w:rsidP="00972FDB">
      <w:pPr>
        <w:rPr>
          <w:sz w:val="28"/>
          <w:szCs w:val="28"/>
        </w:rPr>
      </w:pPr>
      <w:r>
        <w:rPr>
          <w:sz w:val="28"/>
          <w:szCs w:val="28"/>
        </w:rPr>
        <w:lastRenderedPageBreak/>
        <w:t>Made By-</w:t>
      </w:r>
    </w:p>
    <w:p w14:paraId="00C33CA2" w14:textId="2BB37121" w:rsidR="005D2882" w:rsidRPr="005D2882" w:rsidRDefault="005D2882" w:rsidP="00972FDB">
      <w:pPr>
        <w:rPr>
          <w:sz w:val="28"/>
          <w:szCs w:val="28"/>
          <w:u w:val="single"/>
        </w:rPr>
      </w:pPr>
      <w:r w:rsidRPr="005D2882">
        <w:rPr>
          <w:sz w:val="28"/>
          <w:szCs w:val="28"/>
          <w:u w:val="single"/>
        </w:rPr>
        <w:t>Sabyasachi Rathore</w:t>
      </w:r>
    </w:p>
    <w:p w14:paraId="1E07C606" w14:textId="572F9881" w:rsidR="005D2882" w:rsidRPr="005D2882" w:rsidRDefault="005D2882" w:rsidP="00972FDB">
      <w:pPr>
        <w:rPr>
          <w:sz w:val="28"/>
          <w:szCs w:val="28"/>
          <w:u w:val="single"/>
        </w:rPr>
      </w:pPr>
      <w:proofErr w:type="spellStart"/>
      <w:r w:rsidRPr="005D2882">
        <w:rPr>
          <w:sz w:val="28"/>
          <w:szCs w:val="28"/>
          <w:u w:val="single"/>
        </w:rPr>
        <w:t>Devansh</w:t>
      </w:r>
      <w:proofErr w:type="spellEnd"/>
      <w:r w:rsidRPr="005D2882">
        <w:rPr>
          <w:sz w:val="28"/>
          <w:szCs w:val="28"/>
          <w:u w:val="single"/>
        </w:rPr>
        <w:t xml:space="preserve"> Jain</w:t>
      </w:r>
    </w:p>
    <w:sectPr w:rsidR="005D2882" w:rsidRPr="005D2882">
      <w:footerReference w:type="default" r:id="rId7"/>
      <w:headerReference w:type="first" r:id="rId8"/>
      <w:pgSz w:w="12240" w:h="15840"/>
      <w:pgMar w:top="1440" w:right="1080" w:bottom="1829" w:left="1080" w:header="720" w:footer="79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60D9" w14:textId="77777777" w:rsidR="00D64B09" w:rsidRDefault="00D64B09">
      <w:pPr>
        <w:spacing w:after="0" w:line="240" w:lineRule="auto"/>
      </w:pPr>
      <w:r>
        <w:separator/>
      </w:r>
    </w:p>
  </w:endnote>
  <w:endnote w:type="continuationSeparator" w:id="0">
    <w:p w14:paraId="3C6AB695" w14:textId="77777777" w:rsidR="00D64B09" w:rsidRDefault="00D6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3270"/>
      <w:docPartObj>
        <w:docPartGallery w:val="Page Numbers (Top of Page)"/>
        <w:docPartUnique/>
      </w:docPartObj>
    </w:sdtPr>
    <w:sdtEndPr/>
    <w:sdtContent>
      <w:p w14:paraId="1E394C1F" w14:textId="77777777" w:rsidR="006D435B" w:rsidRDefault="00CD749A">
        <w:pPr>
          <w:pStyle w:val="Footer"/>
        </w:pPr>
        <w:r>
          <w:fldChar w:fldCharType="begin"/>
        </w:r>
        <w:r>
          <w:instrText xml:space="preserve"> PAGE   \* MERGEFORMAT </w:instrText>
        </w:r>
        <w:r>
          <w:fldChar w:fldCharType="separate"/>
        </w:r>
        <w:r w:rsidR="00666F9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2DA2" w14:textId="77777777" w:rsidR="00D64B09" w:rsidRDefault="00D64B09">
      <w:pPr>
        <w:spacing w:after="0" w:line="240" w:lineRule="auto"/>
      </w:pPr>
      <w:r>
        <w:separator/>
      </w:r>
    </w:p>
  </w:footnote>
  <w:footnote w:type="continuationSeparator" w:id="0">
    <w:p w14:paraId="67CA7A9B" w14:textId="77777777" w:rsidR="00D64B09" w:rsidRDefault="00D6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5736" w14:textId="4A59DC5D" w:rsidR="00866E00" w:rsidRPr="00866E00" w:rsidRDefault="00866E00">
    <w:pPr>
      <w:pStyle w:val="Header"/>
      <w:rPr>
        <w:lang w:val="en-IN"/>
      </w:rPr>
    </w:pPr>
    <w:r>
      <w:rPr>
        <w:lang w:val="en-IN"/>
      </w:rPr>
      <w:t>Sabyasachi Rathore</w:t>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proofErr w:type="spellStart"/>
    <w:r>
      <w:rPr>
        <w:lang w:val="en-IN"/>
      </w:rPr>
      <w:t>Devansh</w:t>
    </w:r>
    <w:proofErr w:type="spellEnd"/>
    <w:r>
      <w:rPr>
        <w:lang w:val="en-IN"/>
      </w:rPr>
      <w:t xml:space="preserve"> Jain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C63A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7434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4AA3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91BE"/>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5"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00861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09C1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52FC0"/>
    <w:multiLevelType w:val="multilevel"/>
    <w:tmpl w:val="1804A9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92A95"/>
    <w:multiLevelType w:val="multilevel"/>
    <w:tmpl w:val="914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D61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num>
  <w:num w:numId="3">
    <w:abstractNumId w:val="9"/>
  </w:num>
  <w:num w:numId="4">
    <w:abstractNumId w:val="4"/>
  </w:num>
  <w:num w:numId="5">
    <w:abstractNumId w:val="12"/>
  </w:num>
  <w:num w:numId="6">
    <w:abstractNumId w:val="11"/>
  </w:num>
  <w:num w:numId="7">
    <w:abstractNumId w:val="8"/>
  </w:num>
  <w:num w:numId="8">
    <w:abstractNumId w:val="14"/>
  </w:num>
  <w:num w:numId="9">
    <w:abstractNumId w:val="7"/>
  </w:num>
  <w:num w:numId="10">
    <w:abstractNumId w:val="10"/>
  </w:num>
  <w:num w:numId="11">
    <w:abstractNumId w:val="6"/>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D1"/>
    <w:rsid w:val="000504CC"/>
    <w:rsid w:val="0009303C"/>
    <w:rsid w:val="000B4B27"/>
    <w:rsid w:val="000E061A"/>
    <w:rsid w:val="0029097C"/>
    <w:rsid w:val="002B1947"/>
    <w:rsid w:val="0040452B"/>
    <w:rsid w:val="00434192"/>
    <w:rsid w:val="004F64F0"/>
    <w:rsid w:val="00542770"/>
    <w:rsid w:val="005D2882"/>
    <w:rsid w:val="005E7CEF"/>
    <w:rsid w:val="00657386"/>
    <w:rsid w:val="006639D1"/>
    <w:rsid w:val="00666F9E"/>
    <w:rsid w:val="006D435B"/>
    <w:rsid w:val="006F09DF"/>
    <w:rsid w:val="00782F0E"/>
    <w:rsid w:val="00866E00"/>
    <w:rsid w:val="008E1F75"/>
    <w:rsid w:val="00911468"/>
    <w:rsid w:val="00972FDB"/>
    <w:rsid w:val="0099051C"/>
    <w:rsid w:val="00B67EB4"/>
    <w:rsid w:val="00B81AAF"/>
    <w:rsid w:val="00BA119E"/>
    <w:rsid w:val="00CC3A7F"/>
    <w:rsid w:val="00CD749A"/>
    <w:rsid w:val="00D54F24"/>
    <w:rsid w:val="00D64B09"/>
    <w:rsid w:val="00DA1A0F"/>
    <w:rsid w:val="00DD0931"/>
    <w:rsid w:val="00E2268F"/>
    <w:rsid w:val="00E94449"/>
    <w:rsid w:val="00F1653E"/>
    <w:rsid w:val="00F83D04"/>
    <w:rsid w:val="00FE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2F36C"/>
  <w15:chartTrackingRefBased/>
  <w15:docId w15:val="{9E8F4882-E6D5-4AE9-871B-4E663C3E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A2A2A"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9E"/>
  </w:style>
  <w:style w:type="paragraph" w:styleId="Heading1">
    <w:name w:val="heading 1"/>
    <w:basedOn w:val="Normal"/>
    <w:next w:val="Normal"/>
    <w:link w:val="Heading1Char"/>
    <w:uiPriority w:val="1"/>
    <w:qFormat/>
    <w:rsid w:val="00D54F24"/>
    <w:pPr>
      <w:pageBreakBefore/>
      <w:spacing w:after="3600" w:line="240" w:lineRule="auto"/>
      <w:contextualSpacing/>
      <w:outlineLvl w:val="0"/>
    </w:pPr>
    <w:rPr>
      <w:rFonts w:asciiTheme="majorHAnsi" w:eastAsiaTheme="majorEastAsia" w:hAnsiTheme="majorHAnsi" w:cstheme="majorBidi"/>
      <w:b/>
      <w:sz w:val="110"/>
      <w:szCs w:val="32"/>
    </w:rPr>
  </w:style>
  <w:style w:type="paragraph" w:styleId="Heading2">
    <w:name w:val="heading 2"/>
    <w:basedOn w:val="Normal"/>
    <w:next w:val="Normal"/>
    <w:link w:val="Heading2Char"/>
    <w:uiPriority w:val="1"/>
    <w:unhideWhenUsed/>
    <w:qFormat/>
    <w:rsid w:val="00D54F24"/>
    <w:pPr>
      <w:keepNext/>
      <w:keepLines/>
      <w:pBdr>
        <w:top w:val="single" w:sz="24" w:space="18" w:color="2A2A2A" w:themeColor="text2"/>
      </w:pBdr>
      <w:spacing w:after="320" w:line="240" w:lineRule="auto"/>
      <w:contextualSpacing/>
      <w:outlineLvl w:val="1"/>
    </w:pPr>
    <w:rPr>
      <w:rFonts w:asciiTheme="majorHAnsi" w:eastAsiaTheme="majorEastAsia" w:hAnsiTheme="majorHAnsi" w:cstheme="majorBidi"/>
      <w:b/>
      <w:color w:val="7A4F13" w:themeColor="accent1" w:themeShade="80"/>
      <w:sz w:val="38"/>
      <w:szCs w:val="26"/>
    </w:rPr>
  </w:style>
  <w:style w:type="paragraph" w:styleId="Heading3">
    <w:name w:val="heading 3"/>
    <w:basedOn w:val="Normal"/>
    <w:next w:val="Normal"/>
    <w:link w:val="Heading3Char"/>
    <w:uiPriority w:val="1"/>
    <w:unhideWhenUsed/>
    <w:qFormat/>
    <w:rsid w:val="00D54F24"/>
    <w:pPr>
      <w:keepNext/>
      <w:keepLines/>
      <w:spacing w:after="320" w:line="240" w:lineRule="auto"/>
      <w:contextualSpacing/>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1"/>
    <w:unhideWhenUsed/>
    <w:qFormat/>
    <w:rsid w:val="00CC3A7F"/>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1"/>
    <w:unhideWhenUsed/>
    <w:qFormat/>
    <w:rsid w:val="00CC3A7F"/>
    <w:pPr>
      <w:keepNext/>
      <w:keepLines/>
      <w:spacing w:after="320" w:line="240" w:lineRule="auto"/>
      <w:contextualSpacing/>
      <w:outlineLvl w:val="4"/>
    </w:pPr>
    <w:rPr>
      <w:rFonts w:asciiTheme="majorHAnsi" w:eastAsiaTheme="majorEastAsia" w:hAnsiTheme="majorHAnsi" w:cstheme="majorBidi"/>
      <w:b/>
      <w:color w:val="5F5F5F" w:themeColor="text2" w:themeTint="BF"/>
      <w:sz w:val="36"/>
    </w:rPr>
  </w:style>
  <w:style w:type="paragraph" w:styleId="Heading6">
    <w:name w:val="heading 6"/>
    <w:basedOn w:val="Normal"/>
    <w:next w:val="Normal"/>
    <w:link w:val="Heading6Char"/>
    <w:uiPriority w:val="1"/>
    <w:semiHidden/>
    <w:unhideWhenUsed/>
    <w:qFormat/>
    <w:rsid w:val="00CC3A7F"/>
    <w:pPr>
      <w:keepNext/>
      <w:keepLines/>
      <w:pBdr>
        <w:top w:val="single" w:sz="12" w:space="12" w:color="2A2A2A" w:themeColor="text2"/>
      </w:pBdr>
      <w:spacing w:after="320" w:line="240" w:lineRule="auto"/>
      <w:contextualSpacing/>
      <w:outlineLvl w:val="5"/>
    </w:pPr>
    <w:rPr>
      <w:rFonts w:asciiTheme="majorHAnsi" w:eastAsiaTheme="majorEastAsia" w:hAnsiTheme="majorHAnsi" w:cstheme="majorBidi"/>
      <w:b/>
      <w:color w:val="7A4F13" w:themeColor="accent1" w:themeShade="80"/>
      <w:sz w:val="36"/>
    </w:rPr>
  </w:style>
  <w:style w:type="paragraph" w:styleId="Heading7">
    <w:name w:val="heading 7"/>
    <w:basedOn w:val="Normal"/>
    <w:next w:val="Normal"/>
    <w:link w:val="Heading7Char"/>
    <w:uiPriority w:val="1"/>
    <w:semiHidden/>
    <w:unhideWhenUsed/>
    <w:qFormat/>
    <w:rsid w:val="00CC3A7F"/>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1"/>
    <w:semiHidden/>
    <w:unhideWhenUsed/>
    <w:qFormat/>
    <w:rsid w:val="00CC3A7F"/>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1"/>
    <w:semiHidden/>
    <w:unhideWhenUsed/>
    <w:qFormat/>
    <w:rsid w:val="00CC3A7F"/>
    <w:pPr>
      <w:keepNext/>
      <w:keepLines/>
      <w:spacing w:after="240" w:line="240" w:lineRule="auto"/>
      <w:contextualSpacing/>
      <w:outlineLvl w:val="8"/>
    </w:pPr>
    <w:rPr>
      <w:rFonts w:asciiTheme="majorHAnsi" w:eastAsiaTheme="majorEastAsia" w:hAnsiTheme="majorHAnsi" w:cstheme="majorBidi"/>
      <w:b/>
      <w:iCs/>
      <w:color w:val="5F5F5F" w:themeColor="text2" w:themeTint="BF"/>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pPr>
    <w:rPr>
      <w:b/>
      <w:sz w:val="46"/>
    </w:rPr>
  </w:style>
  <w:style w:type="character" w:customStyle="1" w:styleId="FooterChar">
    <w:name w:val="Footer Char"/>
    <w:basedOn w:val="DefaultParagraphFont"/>
    <w:link w:val="Footer"/>
    <w:uiPriority w:val="99"/>
    <w:rPr>
      <w:b/>
      <w:sz w:val="46"/>
    </w:rPr>
  </w:style>
  <w:style w:type="character" w:customStyle="1" w:styleId="Heading1Char">
    <w:name w:val="Heading 1 Char"/>
    <w:basedOn w:val="DefaultParagraphFont"/>
    <w:link w:val="Heading1"/>
    <w:uiPriority w:val="1"/>
    <w:rsid w:val="0029097C"/>
    <w:rPr>
      <w:rFonts w:asciiTheme="majorHAnsi" w:eastAsiaTheme="majorEastAsia" w:hAnsiTheme="majorHAnsi" w:cstheme="majorBidi"/>
      <w:b/>
      <w:sz w:val="110"/>
      <w:szCs w:val="32"/>
    </w:rPr>
  </w:style>
  <w:style w:type="character" w:customStyle="1" w:styleId="Heading2Char">
    <w:name w:val="Heading 2 Char"/>
    <w:basedOn w:val="DefaultParagraphFont"/>
    <w:link w:val="Heading2"/>
    <w:uiPriority w:val="1"/>
    <w:rsid w:val="0029097C"/>
    <w:rPr>
      <w:rFonts w:asciiTheme="majorHAnsi" w:eastAsiaTheme="majorEastAsia" w:hAnsiTheme="majorHAnsi" w:cstheme="majorBidi"/>
      <w:b/>
      <w:color w:val="7A4F13" w:themeColor="accent1" w:themeShade="80"/>
      <w:sz w:val="38"/>
      <w:szCs w:val="26"/>
    </w:rPr>
  </w:style>
  <w:style w:type="paragraph" w:styleId="ListBullet">
    <w:name w:val="List Bullet"/>
    <w:basedOn w:val="Normal"/>
    <w:uiPriority w:val="5"/>
    <w:qFormat/>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dernPaper">
    <w:name w:val="Modern Paper"/>
    <w:basedOn w:val="TableNormal"/>
    <w:uiPriority w:val="99"/>
    <w:rsid w:val="00CC3A7F"/>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7A4F13" w:themeColor="accent1" w:themeShade="80"/>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1"/>
    <w:rsid w:val="0029097C"/>
    <w:rPr>
      <w:rFonts w:asciiTheme="majorHAnsi" w:eastAsiaTheme="majorEastAsia" w:hAnsiTheme="majorHAnsi" w:cstheme="majorBidi"/>
      <w:b/>
      <w:sz w:val="36"/>
      <w:szCs w:val="24"/>
    </w:rPr>
  </w:style>
  <w:style w:type="character" w:customStyle="1" w:styleId="Heading4Char">
    <w:name w:val="Heading 4 Char"/>
    <w:basedOn w:val="DefaultParagraphFont"/>
    <w:link w:val="Heading4"/>
    <w:uiPriority w:val="1"/>
    <w:rsid w:val="0029097C"/>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1"/>
    <w:rsid w:val="0029097C"/>
    <w:rPr>
      <w:rFonts w:asciiTheme="majorHAnsi" w:eastAsiaTheme="majorEastAsia" w:hAnsiTheme="majorHAnsi" w:cstheme="majorBidi"/>
      <w:b/>
      <w:color w:val="5F5F5F" w:themeColor="text2" w:themeTint="BF"/>
      <w:sz w:val="36"/>
    </w:rPr>
  </w:style>
  <w:style w:type="character" w:customStyle="1" w:styleId="Heading6Char">
    <w:name w:val="Heading 6 Char"/>
    <w:basedOn w:val="DefaultParagraphFont"/>
    <w:link w:val="Heading6"/>
    <w:uiPriority w:val="1"/>
    <w:semiHidden/>
    <w:rsid w:val="0029097C"/>
    <w:rPr>
      <w:rFonts w:asciiTheme="majorHAnsi" w:eastAsiaTheme="majorEastAsia" w:hAnsiTheme="majorHAnsi" w:cstheme="majorBidi"/>
      <w:b/>
      <w:color w:val="7A4F13" w:themeColor="accent1" w:themeShade="80"/>
      <w:sz w:val="36"/>
    </w:rPr>
  </w:style>
  <w:style w:type="character" w:customStyle="1" w:styleId="Heading7Char">
    <w:name w:val="Heading 7 Char"/>
    <w:basedOn w:val="DefaultParagraphFont"/>
    <w:link w:val="Heading7"/>
    <w:uiPriority w:val="1"/>
    <w:semiHidden/>
    <w:rsid w:val="0029097C"/>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1"/>
    <w:semiHidden/>
    <w:rsid w:val="0029097C"/>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1"/>
    <w:semiHidden/>
    <w:rsid w:val="0029097C"/>
    <w:rPr>
      <w:rFonts w:asciiTheme="majorHAnsi" w:eastAsiaTheme="majorEastAsia" w:hAnsiTheme="majorHAnsi" w:cstheme="majorBidi"/>
      <w:b/>
      <w:iCs/>
      <w:color w:val="5F5F5F" w:themeColor="text2" w:themeTint="BF"/>
      <w:sz w:val="32"/>
      <w:szCs w:val="21"/>
    </w:rPr>
  </w:style>
  <w:style w:type="character" w:styleId="Emphasis">
    <w:name w:val="Emphasis"/>
    <w:basedOn w:val="DefaultParagraphFont"/>
    <w:uiPriority w:val="20"/>
    <w:unhideWhenUsed/>
    <w:qFormat/>
    <w:rsid w:val="00D54F24"/>
    <w:rPr>
      <w:i w:val="0"/>
      <w:iCs/>
      <w:color w:val="7A4F13" w:themeColor="accent1" w:themeShade="80"/>
    </w:rPr>
  </w:style>
  <w:style w:type="character" w:styleId="IntenseEmphasis">
    <w:name w:val="Intense Emphasis"/>
    <w:basedOn w:val="DefaultParagraphFont"/>
    <w:uiPriority w:val="21"/>
    <w:semiHidden/>
    <w:unhideWhenUsed/>
    <w:qFormat/>
    <w:rsid w:val="00D54F24"/>
    <w:rPr>
      <w:b/>
      <w:i/>
      <w:iCs/>
      <w:color w:val="7A4F13" w:themeColor="accent1" w:themeShade="80"/>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rsid w:val="00D54F24"/>
    <w:pPr>
      <w:numPr>
        <w:ilvl w:val="1"/>
      </w:numPr>
      <w:spacing w:after="1200" w:line="240" w:lineRule="auto"/>
      <w:contextualSpacing/>
    </w:pPr>
    <w:rPr>
      <w:rFonts w:eastAsiaTheme="minorEastAsia"/>
      <w:b/>
      <w:color w:val="7A4F13" w:themeColor="accent1" w:themeShade="80"/>
      <w:sz w:val="56"/>
    </w:rPr>
  </w:style>
  <w:style w:type="character" w:customStyle="1" w:styleId="SubtitleChar">
    <w:name w:val="Subtitle Char"/>
    <w:basedOn w:val="DefaultParagraphFont"/>
    <w:link w:val="Subtitle"/>
    <w:uiPriority w:val="11"/>
    <w:semiHidden/>
    <w:rsid w:val="00D54F24"/>
    <w:rPr>
      <w:rFonts w:eastAsiaTheme="minorEastAsia"/>
      <w:b/>
      <w:color w:val="7A4F13" w:themeColor="accent1" w:themeShade="80"/>
      <w:sz w:val="56"/>
    </w:rPr>
  </w:style>
  <w:style w:type="character" w:styleId="PlaceholderText">
    <w:name w:val="Placeholder Text"/>
    <w:basedOn w:val="DefaultParagraphFont"/>
    <w:uiPriority w:val="99"/>
    <w:semiHidden/>
    <w:rsid w:val="00666F9E"/>
    <w:rPr>
      <w:color w:val="595959" w:themeColor="text1" w:themeTint="A6"/>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basedOn w:val="Normal"/>
    <w:next w:val="Normal"/>
    <w:link w:val="QuoteChar"/>
    <w:uiPriority w:val="3"/>
    <w:unhideWhenUsed/>
    <w:qFormat/>
    <w:pPr>
      <w:spacing w:before="360" w:after="360"/>
      <w:contextualSpacing/>
    </w:pPr>
    <w:rPr>
      <w:iCs/>
      <w:sz w:val="60"/>
    </w:rPr>
  </w:style>
  <w:style w:type="character" w:customStyle="1" w:styleId="QuoteChar">
    <w:name w:val="Quote Char"/>
    <w:basedOn w:val="DefaultParagraphFont"/>
    <w:link w:val="Quote"/>
    <w:uiPriority w:val="3"/>
    <w:rsid w:val="0029097C"/>
    <w:rPr>
      <w:iCs/>
      <w:sz w:val="6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6"/>
    <w:qFormat/>
    <w:pPr>
      <w:numPr>
        <w:numId w:val="6"/>
      </w:numPr>
      <w:spacing w:after="120"/>
    </w:pPr>
  </w:style>
  <w:style w:type="paragraph" w:styleId="BlockText">
    <w:name w:val="Block Text"/>
    <w:basedOn w:val="Normal"/>
    <w:uiPriority w:val="2"/>
    <w:unhideWhenUsed/>
    <w:pPr>
      <w:spacing w:before="360" w:after="360"/>
    </w:pPr>
    <w:rPr>
      <w:rFonts w:eastAsiaTheme="minorEastAsia"/>
      <w:iCs/>
      <w:color w:val="3E3E3E" w:themeColor="text2" w:themeTint="E6"/>
      <w:sz w:val="28"/>
    </w:rPr>
  </w:style>
  <w:style w:type="paragraph" w:styleId="BalloonText">
    <w:name w:val="Balloon Text"/>
    <w:basedOn w:val="Normal"/>
    <w:link w:val="BalloonTextChar"/>
    <w:uiPriority w:val="99"/>
    <w:semiHidden/>
    <w:unhideWhenUsed/>
    <w:rsid w:val="00CC3A7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C3A7F"/>
    <w:rPr>
      <w:rFonts w:ascii="Segoe UI" w:hAnsi="Segoe UI" w:cs="Segoe UI"/>
      <w:szCs w:val="18"/>
    </w:rPr>
  </w:style>
  <w:style w:type="paragraph" w:styleId="BodyText3">
    <w:name w:val="Body Text 3"/>
    <w:basedOn w:val="Normal"/>
    <w:link w:val="BodyText3Char"/>
    <w:uiPriority w:val="99"/>
    <w:semiHidden/>
    <w:unhideWhenUsed/>
    <w:rsid w:val="00CC3A7F"/>
    <w:pPr>
      <w:spacing w:after="120"/>
    </w:pPr>
    <w:rPr>
      <w:szCs w:val="16"/>
    </w:rPr>
  </w:style>
  <w:style w:type="character" w:customStyle="1" w:styleId="BodyText3Char">
    <w:name w:val="Body Text 3 Char"/>
    <w:basedOn w:val="DefaultParagraphFont"/>
    <w:link w:val="BodyText3"/>
    <w:uiPriority w:val="99"/>
    <w:semiHidden/>
    <w:rsid w:val="00CC3A7F"/>
    <w:rPr>
      <w:szCs w:val="16"/>
    </w:rPr>
  </w:style>
  <w:style w:type="paragraph" w:styleId="BodyTextIndent3">
    <w:name w:val="Body Text Indent 3"/>
    <w:basedOn w:val="Normal"/>
    <w:link w:val="BodyTextIndent3Char"/>
    <w:uiPriority w:val="99"/>
    <w:semiHidden/>
    <w:unhideWhenUsed/>
    <w:rsid w:val="00CC3A7F"/>
    <w:pPr>
      <w:spacing w:after="120"/>
      <w:ind w:left="360"/>
    </w:pPr>
    <w:rPr>
      <w:szCs w:val="16"/>
    </w:rPr>
  </w:style>
  <w:style w:type="character" w:customStyle="1" w:styleId="BodyTextIndent3Char">
    <w:name w:val="Body Text Indent 3 Char"/>
    <w:basedOn w:val="DefaultParagraphFont"/>
    <w:link w:val="BodyTextIndent3"/>
    <w:uiPriority w:val="99"/>
    <w:semiHidden/>
    <w:rsid w:val="00CC3A7F"/>
    <w:rPr>
      <w:szCs w:val="16"/>
    </w:rPr>
  </w:style>
  <w:style w:type="character" w:styleId="CommentReference">
    <w:name w:val="annotation reference"/>
    <w:basedOn w:val="DefaultParagraphFont"/>
    <w:uiPriority w:val="99"/>
    <w:semiHidden/>
    <w:unhideWhenUsed/>
    <w:rsid w:val="00CC3A7F"/>
    <w:rPr>
      <w:sz w:val="22"/>
      <w:szCs w:val="16"/>
    </w:rPr>
  </w:style>
  <w:style w:type="paragraph" w:styleId="CommentText">
    <w:name w:val="annotation text"/>
    <w:basedOn w:val="Normal"/>
    <w:link w:val="CommentTextChar"/>
    <w:uiPriority w:val="99"/>
    <w:semiHidden/>
    <w:unhideWhenUsed/>
    <w:rsid w:val="00CC3A7F"/>
    <w:pPr>
      <w:spacing w:line="240" w:lineRule="auto"/>
    </w:pPr>
    <w:rPr>
      <w:szCs w:val="20"/>
    </w:rPr>
  </w:style>
  <w:style w:type="character" w:customStyle="1" w:styleId="CommentTextChar">
    <w:name w:val="Comment Text Char"/>
    <w:basedOn w:val="DefaultParagraphFont"/>
    <w:link w:val="CommentText"/>
    <w:uiPriority w:val="99"/>
    <w:semiHidden/>
    <w:rsid w:val="00CC3A7F"/>
    <w:rPr>
      <w:szCs w:val="20"/>
    </w:rPr>
  </w:style>
  <w:style w:type="paragraph" w:styleId="CommentSubject">
    <w:name w:val="annotation subject"/>
    <w:basedOn w:val="CommentText"/>
    <w:next w:val="CommentText"/>
    <w:link w:val="CommentSubjectChar"/>
    <w:uiPriority w:val="99"/>
    <w:semiHidden/>
    <w:unhideWhenUsed/>
    <w:rsid w:val="00CC3A7F"/>
    <w:rPr>
      <w:b/>
      <w:bCs/>
    </w:rPr>
  </w:style>
  <w:style w:type="character" w:customStyle="1" w:styleId="CommentSubjectChar">
    <w:name w:val="Comment Subject Char"/>
    <w:basedOn w:val="CommentTextChar"/>
    <w:link w:val="CommentSubject"/>
    <w:uiPriority w:val="99"/>
    <w:semiHidden/>
    <w:rsid w:val="00CC3A7F"/>
    <w:rPr>
      <w:b/>
      <w:bCs/>
      <w:szCs w:val="20"/>
    </w:rPr>
  </w:style>
  <w:style w:type="paragraph" w:styleId="DocumentMap">
    <w:name w:val="Document Map"/>
    <w:basedOn w:val="Normal"/>
    <w:link w:val="DocumentMapChar"/>
    <w:uiPriority w:val="99"/>
    <w:semiHidden/>
    <w:unhideWhenUsed/>
    <w:rsid w:val="00CC3A7F"/>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C3A7F"/>
    <w:rPr>
      <w:rFonts w:ascii="Segoe UI" w:hAnsi="Segoe UI" w:cs="Segoe UI"/>
      <w:szCs w:val="16"/>
    </w:rPr>
  </w:style>
  <w:style w:type="paragraph" w:styleId="EndnoteText">
    <w:name w:val="endnote text"/>
    <w:basedOn w:val="Normal"/>
    <w:link w:val="EndnoteTextChar"/>
    <w:uiPriority w:val="99"/>
    <w:semiHidden/>
    <w:unhideWhenUsed/>
    <w:rsid w:val="00CC3A7F"/>
    <w:pPr>
      <w:spacing w:after="0" w:line="240" w:lineRule="auto"/>
    </w:pPr>
    <w:rPr>
      <w:szCs w:val="20"/>
    </w:rPr>
  </w:style>
  <w:style w:type="character" w:customStyle="1" w:styleId="EndnoteTextChar">
    <w:name w:val="Endnote Text Char"/>
    <w:basedOn w:val="DefaultParagraphFont"/>
    <w:link w:val="EndnoteText"/>
    <w:uiPriority w:val="99"/>
    <w:semiHidden/>
    <w:rsid w:val="00CC3A7F"/>
    <w:rPr>
      <w:szCs w:val="20"/>
    </w:rPr>
  </w:style>
  <w:style w:type="paragraph" w:styleId="EnvelopeReturn">
    <w:name w:val="envelope return"/>
    <w:basedOn w:val="Normal"/>
    <w:uiPriority w:val="99"/>
    <w:semiHidden/>
    <w:unhideWhenUsed/>
    <w:rsid w:val="00CC3A7F"/>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CC3A7F"/>
    <w:pPr>
      <w:spacing w:after="0" w:line="240" w:lineRule="auto"/>
    </w:pPr>
    <w:rPr>
      <w:szCs w:val="20"/>
    </w:rPr>
  </w:style>
  <w:style w:type="character" w:customStyle="1" w:styleId="FootnoteTextChar">
    <w:name w:val="Footnote Text Char"/>
    <w:basedOn w:val="DefaultParagraphFont"/>
    <w:link w:val="FootnoteText"/>
    <w:uiPriority w:val="99"/>
    <w:semiHidden/>
    <w:rsid w:val="00CC3A7F"/>
    <w:rPr>
      <w:szCs w:val="20"/>
    </w:rPr>
  </w:style>
  <w:style w:type="character" w:styleId="HTMLCode">
    <w:name w:val="HTML Code"/>
    <w:basedOn w:val="DefaultParagraphFont"/>
    <w:uiPriority w:val="99"/>
    <w:semiHidden/>
    <w:unhideWhenUsed/>
    <w:rsid w:val="00CC3A7F"/>
    <w:rPr>
      <w:rFonts w:ascii="Consolas" w:hAnsi="Consolas"/>
      <w:sz w:val="22"/>
      <w:szCs w:val="20"/>
    </w:rPr>
  </w:style>
  <w:style w:type="character" w:styleId="HTMLKeyboard">
    <w:name w:val="HTML Keyboard"/>
    <w:basedOn w:val="DefaultParagraphFont"/>
    <w:uiPriority w:val="99"/>
    <w:semiHidden/>
    <w:unhideWhenUsed/>
    <w:rsid w:val="00CC3A7F"/>
    <w:rPr>
      <w:rFonts w:ascii="Consolas" w:hAnsi="Consolas"/>
      <w:sz w:val="22"/>
      <w:szCs w:val="20"/>
    </w:rPr>
  </w:style>
  <w:style w:type="paragraph" w:styleId="HTMLPreformatted">
    <w:name w:val="HTML Preformatted"/>
    <w:basedOn w:val="Normal"/>
    <w:link w:val="HTMLPreformattedChar"/>
    <w:uiPriority w:val="99"/>
    <w:semiHidden/>
    <w:unhideWhenUsed/>
    <w:rsid w:val="00CC3A7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C3A7F"/>
    <w:rPr>
      <w:rFonts w:ascii="Consolas" w:hAnsi="Consolas"/>
      <w:szCs w:val="20"/>
    </w:rPr>
  </w:style>
  <w:style w:type="character" w:styleId="HTMLTypewriter">
    <w:name w:val="HTML Typewriter"/>
    <w:basedOn w:val="DefaultParagraphFont"/>
    <w:uiPriority w:val="99"/>
    <w:semiHidden/>
    <w:unhideWhenUsed/>
    <w:rsid w:val="00CC3A7F"/>
    <w:rPr>
      <w:rFonts w:ascii="Consolas" w:hAnsi="Consolas"/>
      <w:sz w:val="22"/>
      <w:szCs w:val="20"/>
    </w:rPr>
  </w:style>
  <w:style w:type="paragraph" w:styleId="MacroText">
    <w:name w:val="macro"/>
    <w:link w:val="MacroTextChar"/>
    <w:uiPriority w:val="99"/>
    <w:semiHidden/>
    <w:unhideWhenUsed/>
    <w:rsid w:val="00CC3A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3A7F"/>
    <w:rPr>
      <w:rFonts w:ascii="Consolas" w:hAnsi="Consolas"/>
      <w:szCs w:val="20"/>
    </w:rPr>
  </w:style>
  <w:style w:type="paragraph" w:styleId="PlainText">
    <w:name w:val="Plain Text"/>
    <w:basedOn w:val="Normal"/>
    <w:link w:val="PlainTextChar"/>
    <w:uiPriority w:val="99"/>
    <w:semiHidden/>
    <w:unhideWhenUsed/>
    <w:rsid w:val="00CC3A7F"/>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C3A7F"/>
    <w:rPr>
      <w:rFonts w:ascii="Consolas" w:hAnsi="Consolas"/>
      <w:szCs w:val="21"/>
    </w:rPr>
  </w:style>
  <w:style w:type="character" w:styleId="Hyperlink">
    <w:name w:val="Hyperlink"/>
    <w:basedOn w:val="DefaultParagraphFont"/>
    <w:uiPriority w:val="99"/>
    <w:semiHidden/>
    <w:unhideWhenUsed/>
    <w:rsid w:val="000B4B27"/>
    <w:rPr>
      <w:color w:val="413C4C" w:themeColor="accent3"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6340">
      <w:bodyDiv w:val="1"/>
      <w:marLeft w:val="0"/>
      <w:marRight w:val="0"/>
      <w:marTop w:val="0"/>
      <w:marBottom w:val="0"/>
      <w:divBdr>
        <w:top w:val="none" w:sz="0" w:space="0" w:color="auto"/>
        <w:left w:val="none" w:sz="0" w:space="0" w:color="auto"/>
        <w:bottom w:val="none" w:sz="0" w:space="0" w:color="auto"/>
        <w:right w:val="none" w:sz="0" w:space="0" w:color="auto"/>
      </w:divBdr>
    </w:div>
    <w:div w:id="908883391">
      <w:bodyDiv w:val="1"/>
      <w:marLeft w:val="0"/>
      <w:marRight w:val="0"/>
      <w:marTop w:val="0"/>
      <w:marBottom w:val="0"/>
      <w:divBdr>
        <w:top w:val="none" w:sz="0" w:space="0" w:color="auto"/>
        <w:left w:val="none" w:sz="0" w:space="0" w:color="auto"/>
        <w:bottom w:val="none" w:sz="0" w:space="0" w:color="auto"/>
        <w:right w:val="none" w:sz="0" w:space="0" w:color="auto"/>
      </w:divBdr>
    </w:div>
    <w:div w:id="16458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Modern%20paper.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paper</Template>
  <TotalTime>1331</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SABYASACHI RATHORE</cp:lastModifiedBy>
  <cp:revision>4</cp:revision>
  <dcterms:created xsi:type="dcterms:W3CDTF">2021-10-31T13:34:00Z</dcterms:created>
  <dcterms:modified xsi:type="dcterms:W3CDTF">2021-11-01T16:10:00Z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