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6FBF4" w14:textId="6D251DD5" w:rsidR="00E41128" w:rsidRPr="0007571D" w:rsidRDefault="00E41128" w:rsidP="00244E14">
      <w:pPr>
        <w:rPr>
          <w:rFonts w:ascii="Copperplate Gothic Bold" w:hAnsi="Copperplate Gothic Bold"/>
          <w:sz w:val="24"/>
          <w:szCs w:val="24"/>
        </w:rPr>
      </w:pPr>
      <w:r w:rsidRPr="0007571D">
        <w:rPr>
          <w:rFonts w:ascii="Copperplate Gothic Bold" w:hAnsi="Copperplate Gothic Bold"/>
          <w:sz w:val="24"/>
          <w:szCs w:val="24"/>
        </w:rPr>
        <w:t>Q1</w:t>
      </w:r>
    </w:p>
    <w:p w14:paraId="6C17931E" w14:textId="45B6B051" w:rsidR="00244E14" w:rsidRPr="0007571D" w:rsidRDefault="00244E14" w:rsidP="00E41128">
      <w:pPr>
        <w:spacing w:after="0"/>
        <w:rPr>
          <w:rFonts w:ascii="Copperplate Gothic Bold" w:hAnsi="Copperplate Gothic Bold"/>
          <w:sz w:val="24"/>
          <w:szCs w:val="24"/>
        </w:rPr>
      </w:pPr>
      <w:r w:rsidRPr="0007571D">
        <w:rPr>
          <w:rFonts w:ascii="Copperplate Gothic Bold" w:hAnsi="Copperplate Gothic Bold"/>
          <w:sz w:val="24"/>
          <w:szCs w:val="24"/>
        </w:rPr>
        <w:t xml:space="preserve"> The various distribution channels are</w:t>
      </w:r>
    </w:p>
    <w:p w14:paraId="5F73CC19" w14:textId="77777777" w:rsidR="00244E14" w:rsidRPr="0007571D" w:rsidRDefault="00244E14" w:rsidP="00E41128">
      <w:pPr>
        <w:spacing w:after="0"/>
        <w:rPr>
          <w:rFonts w:ascii="Copperplate Gothic Bold" w:hAnsi="Copperplate Gothic Bold"/>
          <w:sz w:val="24"/>
          <w:szCs w:val="24"/>
        </w:rPr>
      </w:pPr>
      <w:r w:rsidRPr="0007571D">
        <w:rPr>
          <w:rFonts w:ascii="Copperplate Gothic Bold" w:hAnsi="Copperplate Gothic Bold"/>
          <w:sz w:val="24"/>
          <w:szCs w:val="24"/>
        </w:rPr>
        <w:t>a. Market Intermediaries: agency building distribution or non-agency building distribution</w:t>
      </w:r>
    </w:p>
    <w:p w14:paraId="7869D1FD" w14:textId="77777777" w:rsidR="00244E14" w:rsidRPr="0007571D" w:rsidRDefault="00244E14" w:rsidP="00E41128">
      <w:pPr>
        <w:spacing w:after="0"/>
        <w:rPr>
          <w:rFonts w:ascii="Copperplate Gothic Bold" w:hAnsi="Copperplate Gothic Bold"/>
          <w:sz w:val="24"/>
          <w:szCs w:val="24"/>
        </w:rPr>
      </w:pPr>
      <w:r w:rsidRPr="0007571D">
        <w:rPr>
          <w:rFonts w:ascii="Copperplate Gothic Bold" w:hAnsi="Copperplate Gothic Bold"/>
          <w:sz w:val="24"/>
          <w:szCs w:val="24"/>
        </w:rPr>
        <w:t>b. Direct Response: Mail, Telephone, Print Media, Electronic Media, Broadcast Media</w:t>
      </w:r>
    </w:p>
    <w:p w14:paraId="546DF5C5" w14:textId="0EA9E13B" w:rsidR="00244E14" w:rsidRPr="0007571D" w:rsidRDefault="00244E14" w:rsidP="00E41128">
      <w:pPr>
        <w:spacing w:after="0"/>
        <w:rPr>
          <w:rFonts w:ascii="Copperplate Gothic Bold" w:hAnsi="Copperplate Gothic Bold"/>
          <w:sz w:val="24"/>
          <w:szCs w:val="24"/>
        </w:rPr>
      </w:pPr>
      <w:r w:rsidRPr="0007571D">
        <w:rPr>
          <w:rFonts w:ascii="Copperplate Gothic Bold" w:hAnsi="Copperplate Gothic Bold"/>
          <w:sz w:val="24"/>
          <w:szCs w:val="24"/>
        </w:rPr>
        <w:t>c. Financial Institutions: Deposit taking Institutions, Investment Banks, Others.</w:t>
      </w:r>
    </w:p>
    <w:p w14:paraId="095DCA1A" w14:textId="77777777" w:rsidR="00244E14" w:rsidRPr="0007571D" w:rsidRDefault="00244E14" w:rsidP="00E41128">
      <w:pPr>
        <w:spacing w:after="0"/>
        <w:rPr>
          <w:rFonts w:ascii="Copperplate Gothic Bold" w:hAnsi="Copperplate Gothic Bold"/>
          <w:sz w:val="24"/>
          <w:szCs w:val="24"/>
        </w:rPr>
      </w:pPr>
    </w:p>
    <w:p w14:paraId="5277E05A" w14:textId="3C04024E" w:rsidR="00E41128" w:rsidRPr="0007571D" w:rsidRDefault="00E41128" w:rsidP="00E41128">
      <w:pPr>
        <w:rPr>
          <w:rFonts w:ascii="Copperplate Gothic Bold" w:hAnsi="Copperplate Gothic Bold"/>
          <w:sz w:val="24"/>
          <w:szCs w:val="24"/>
        </w:rPr>
      </w:pPr>
      <w:r w:rsidRPr="0007571D">
        <w:rPr>
          <w:rFonts w:ascii="Copperplate Gothic Bold" w:hAnsi="Copperplate Gothic Bold"/>
          <w:sz w:val="24"/>
          <w:szCs w:val="24"/>
        </w:rPr>
        <w:t>Q2</w:t>
      </w:r>
    </w:p>
    <w:p w14:paraId="09FE9467" w14:textId="6C1DE8C6" w:rsidR="00E41128" w:rsidRPr="0007571D" w:rsidRDefault="00E41128" w:rsidP="00E41128">
      <w:pPr>
        <w:spacing w:after="0"/>
        <w:rPr>
          <w:rFonts w:ascii="Copperplate Gothic Bold" w:hAnsi="Copperplate Gothic Bold"/>
          <w:sz w:val="24"/>
          <w:szCs w:val="24"/>
        </w:rPr>
      </w:pPr>
      <w:r w:rsidRPr="0007571D">
        <w:rPr>
          <w:rFonts w:ascii="Copperplate Gothic Bold" w:hAnsi="Copperplate Gothic Bold"/>
          <w:sz w:val="24"/>
          <w:szCs w:val="24"/>
        </w:rPr>
        <w:t>Reasons for lapsation:</w:t>
      </w:r>
    </w:p>
    <w:p w14:paraId="068FF4D6" w14:textId="77777777" w:rsidR="00E41128" w:rsidRPr="0007571D" w:rsidRDefault="00E41128" w:rsidP="00E41128">
      <w:pPr>
        <w:spacing w:after="0"/>
        <w:rPr>
          <w:rFonts w:ascii="Copperplate Gothic Bold" w:hAnsi="Copperplate Gothic Bold"/>
          <w:sz w:val="24"/>
          <w:szCs w:val="24"/>
        </w:rPr>
      </w:pPr>
      <w:proofErr w:type="spellStart"/>
      <w:r w:rsidRPr="0007571D">
        <w:rPr>
          <w:rFonts w:ascii="Copperplate Gothic Bold" w:hAnsi="Copperplate Gothic Bold"/>
          <w:sz w:val="24"/>
          <w:szCs w:val="24"/>
        </w:rPr>
        <w:t>i</w:t>
      </w:r>
      <w:proofErr w:type="spellEnd"/>
      <w:r w:rsidRPr="0007571D">
        <w:rPr>
          <w:rFonts w:ascii="Copperplate Gothic Bold" w:hAnsi="Copperplate Gothic Bold"/>
          <w:sz w:val="24"/>
          <w:szCs w:val="24"/>
        </w:rPr>
        <w:t>. Policy term is greater than the ability to pay</w:t>
      </w:r>
    </w:p>
    <w:p w14:paraId="5BB058CF" w14:textId="77777777" w:rsidR="00E41128" w:rsidRPr="0007571D" w:rsidRDefault="00E41128" w:rsidP="00E41128">
      <w:pPr>
        <w:spacing w:after="0"/>
        <w:rPr>
          <w:rFonts w:ascii="Copperplate Gothic Bold" w:hAnsi="Copperplate Gothic Bold"/>
          <w:sz w:val="24"/>
          <w:szCs w:val="24"/>
        </w:rPr>
      </w:pPr>
      <w:r w:rsidRPr="0007571D">
        <w:rPr>
          <w:rFonts w:ascii="Copperplate Gothic Bold" w:hAnsi="Copperplate Gothic Bold"/>
          <w:sz w:val="24"/>
          <w:szCs w:val="24"/>
        </w:rPr>
        <w:t>ii. Lack of Agency professionalism causing confusion and frustration</w:t>
      </w:r>
    </w:p>
    <w:p w14:paraId="174BD757" w14:textId="77777777" w:rsidR="00E41128" w:rsidRPr="0007571D" w:rsidRDefault="00E41128" w:rsidP="00E41128">
      <w:pPr>
        <w:spacing w:after="0"/>
        <w:rPr>
          <w:rFonts w:ascii="Copperplate Gothic Bold" w:hAnsi="Copperplate Gothic Bold"/>
          <w:sz w:val="24"/>
          <w:szCs w:val="24"/>
        </w:rPr>
      </w:pPr>
      <w:r w:rsidRPr="0007571D">
        <w:rPr>
          <w:rFonts w:ascii="Copperplate Gothic Bold" w:hAnsi="Copperplate Gothic Bold"/>
          <w:sz w:val="24"/>
          <w:szCs w:val="24"/>
        </w:rPr>
        <w:t>iii. Poaching/churning by agents to lapse existing policy to buy new one</w:t>
      </w:r>
    </w:p>
    <w:p w14:paraId="5390EBC9" w14:textId="77777777" w:rsidR="00E41128" w:rsidRPr="0007571D" w:rsidRDefault="00E41128" w:rsidP="00E41128">
      <w:pPr>
        <w:spacing w:after="0"/>
        <w:rPr>
          <w:rFonts w:ascii="Copperplate Gothic Bold" w:hAnsi="Copperplate Gothic Bold"/>
          <w:sz w:val="24"/>
          <w:szCs w:val="24"/>
        </w:rPr>
      </w:pPr>
      <w:r w:rsidRPr="0007571D">
        <w:rPr>
          <w:rFonts w:ascii="Copperplate Gothic Bold" w:hAnsi="Copperplate Gothic Bold"/>
          <w:sz w:val="24"/>
          <w:szCs w:val="24"/>
        </w:rPr>
        <w:t>iv. Policy mismatch [lack of need based approach]</w:t>
      </w:r>
    </w:p>
    <w:p w14:paraId="79B26D49" w14:textId="77777777" w:rsidR="00E41128" w:rsidRPr="0007571D" w:rsidRDefault="00E41128" w:rsidP="00E41128">
      <w:pPr>
        <w:spacing w:after="0"/>
        <w:rPr>
          <w:rFonts w:ascii="Copperplate Gothic Bold" w:hAnsi="Copperplate Gothic Bold"/>
          <w:sz w:val="24"/>
          <w:szCs w:val="24"/>
        </w:rPr>
      </w:pPr>
      <w:r w:rsidRPr="0007571D">
        <w:rPr>
          <w:rFonts w:ascii="Copperplate Gothic Bold" w:hAnsi="Copperplate Gothic Bold"/>
          <w:sz w:val="24"/>
          <w:szCs w:val="24"/>
        </w:rPr>
        <w:t>v. Inflation causing erosion of maturity value and negative present value</w:t>
      </w:r>
    </w:p>
    <w:p w14:paraId="0E1841E8" w14:textId="59AA537C" w:rsidR="00E41128" w:rsidRPr="0007571D" w:rsidRDefault="00E41128" w:rsidP="00E41128">
      <w:pPr>
        <w:spacing w:after="0"/>
        <w:rPr>
          <w:rFonts w:ascii="Copperplate Gothic Bold" w:hAnsi="Copperplate Gothic Bold"/>
          <w:sz w:val="24"/>
          <w:szCs w:val="24"/>
        </w:rPr>
      </w:pPr>
      <w:r w:rsidRPr="0007571D">
        <w:rPr>
          <w:rFonts w:ascii="Copperplate Gothic Bold" w:hAnsi="Copperplate Gothic Bold"/>
          <w:sz w:val="24"/>
          <w:szCs w:val="24"/>
        </w:rPr>
        <w:t>vi. Mis selling: wrong or different benefits explained/ not explained</w:t>
      </w:r>
    </w:p>
    <w:p w14:paraId="037E92B9" w14:textId="77777777" w:rsidR="002D0025" w:rsidRPr="0007571D" w:rsidRDefault="002D0025" w:rsidP="002D0025">
      <w:pPr>
        <w:rPr>
          <w:rFonts w:ascii="Copperplate Gothic Bold" w:hAnsi="Copperplate Gothic Bold" w:cstheme="minorHAnsi"/>
        </w:rPr>
      </w:pPr>
    </w:p>
    <w:p w14:paraId="068CFF59" w14:textId="4FAC0A56"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Q4</w:t>
      </w:r>
    </w:p>
    <w:p w14:paraId="3CECE142" w14:textId="5510F4D2"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To avoid financial problems and insolvency, insurance company rates must be adequate in the</w:t>
      </w:r>
    </w:p>
    <w:p w14:paraId="668A8621" w14:textId="77777777"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light of benefits promised under the company’s insurance products. Rate adequacy means that, for</w:t>
      </w:r>
    </w:p>
    <w:p w14:paraId="6B488211" w14:textId="77777777"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a given block of policies, total payments collected now and in the future by the insurer plus the</w:t>
      </w:r>
    </w:p>
    <w:p w14:paraId="57B2BD76" w14:textId="77777777"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investment earnings attributable to any net retained funds are sufficient to fund the current and</w:t>
      </w:r>
    </w:p>
    <w:p w14:paraId="7F5CF96B" w14:textId="29CF85BF" w:rsidR="009A48D7"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future benefits promised plus cover related expenses.</w:t>
      </w:r>
    </w:p>
    <w:p w14:paraId="5FD1E136" w14:textId="77777777"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Rates should not be excessive in relation to the benefits provided. By establishing a ceiling on the</w:t>
      </w:r>
    </w:p>
    <w:p w14:paraId="194AAF41" w14:textId="11B9AE62" w:rsidR="002D0025" w:rsidRPr="0007571D" w:rsidRDefault="002D0025" w:rsidP="002D0025">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rates, this objective is achieved. Competition discourages excessive pricing.</w:t>
      </w:r>
    </w:p>
    <w:p w14:paraId="2F5BE9ED" w14:textId="2870C6F7" w:rsidR="009A48D7" w:rsidRPr="0007571D" w:rsidRDefault="009A48D7" w:rsidP="00237102">
      <w:pPr>
        <w:spacing w:after="0"/>
        <w:rPr>
          <w:rFonts w:ascii="Copperplate Gothic Bold" w:hAnsi="Copperplate Gothic Bold" w:cstheme="minorHAnsi"/>
          <w:sz w:val="24"/>
          <w:szCs w:val="24"/>
        </w:rPr>
      </w:pPr>
    </w:p>
    <w:p w14:paraId="098DB2B2" w14:textId="3E10D8CF"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Q5</w:t>
      </w:r>
    </w:p>
    <w:p w14:paraId="48FA2CE9"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Unit-linked plans are essentially similar to mutual fund products wherein the premium is</w:t>
      </w:r>
    </w:p>
    <w:p w14:paraId="4099BEB0"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invested in various funds in keeping with policyholders’ risk appetite. However, the</w:t>
      </w:r>
    </w:p>
    <w:p w14:paraId="653529D2"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difference in a mutual fund investment is that the money is virtually at call by the</w:t>
      </w:r>
    </w:p>
    <w:p w14:paraId="43924CDB"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customer. In case of unit-linked insurance plans, it is impossible to predict whether the</w:t>
      </w:r>
    </w:p>
    <w:p w14:paraId="5E9B5927"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market will be in an upswing on the day of the policyholder’s death or on maturity. The</w:t>
      </w:r>
    </w:p>
    <w:p w14:paraId="08B82714"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Net Asset Value [NAV] will reflect the underlying value of assets, which in turn is</w:t>
      </w:r>
    </w:p>
    <w:p w14:paraId="1BBFF20D"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dependent on the movement of the Sensex.</w:t>
      </w:r>
    </w:p>
    <w:p w14:paraId="158111E4" w14:textId="77777777" w:rsidR="00237102" w:rsidRPr="0007571D" w:rsidRDefault="00237102" w:rsidP="00237102">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Insurance Companies charge anywhere between 20 -35 percent as upfront charges for their unit-</w:t>
      </w:r>
    </w:p>
    <w:p w14:paraId="12BCD187" w14:textId="0F609FE5" w:rsidR="00271A96" w:rsidRPr="0007571D" w:rsidRDefault="00237102" w:rsidP="00271A96">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linked plans. So, every time when policyholder makes premium payment, only a part of it is actually invested in the fund of policyholder’s choice</w:t>
      </w:r>
    </w:p>
    <w:p w14:paraId="4CA7F063" w14:textId="77777777" w:rsidR="00237102" w:rsidRPr="0007571D" w:rsidRDefault="00237102" w:rsidP="00237102">
      <w:pPr>
        <w:spacing w:after="0"/>
        <w:rPr>
          <w:rFonts w:ascii="Copperplate Gothic Bold" w:hAnsi="Copperplate Gothic Bold" w:cstheme="minorHAnsi"/>
          <w:sz w:val="24"/>
          <w:szCs w:val="24"/>
        </w:rPr>
      </w:pPr>
    </w:p>
    <w:p w14:paraId="4CB3BBB5" w14:textId="77777777" w:rsidR="00271A96" w:rsidRPr="0007571D" w:rsidRDefault="00271A96" w:rsidP="009A48D7">
      <w:pPr>
        <w:rPr>
          <w:rFonts w:ascii="Copperplate Gothic Bold" w:hAnsi="Copperplate Gothic Bold" w:cstheme="minorHAnsi"/>
          <w:sz w:val="24"/>
          <w:szCs w:val="24"/>
        </w:rPr>
      </w:pPr>
    </w:p>
    <w:p w14:paraId="085B3E69" w14:textId="0300B1DA" w:rsidR="009A48D7" w:rsidRPr="0007571D" w:rsidRDefault="009A48D7" w:rsidP="009A48D7">
      <w:pPr>
        <w:rPr>
          <w:rFonts w:ascii="Copperplate Gothic Bold" w:hAnsi="Copperplate Gothic Bold" w:cstheme="minorHAnsi"/>
          <w:sz w:val="24"/>
          <w:szCs w:val="24"/>
        </w:rPr>
      </w:pPr>
      <w:r w:rsidRPr="0007571D">
        <w:rPr>
          <w:rFonts w:ascii="Copperplate Gothic Bold" w:hAnsi="Copperplate Gothic Bold" w:cstheme="minorHAnsi"/>
          <w:sz w:val="24"/>
          <w:szCs w:val="24"/>
        </w:rPr>
        <w:t>Q7</w:t>
      </w:r>
    </w:p>
    <w:p w14:paraId="43006262" w14:textId="7429F2F9" w:rsidR="009A48D7" w:rsidRPr="0007571D" w:rsidRDefault="009A48D7" w:rsidP="009A48D7">
      <w:pPr>
        <w:rPr>
          <w:rFonts w:ascii="Copperplate Gothic Bold" w:hAnsi="Copperplate Gothic Bold" w:cstheme="minorHAnsi"/>
          <w:sz w:val="24"/>
          <w:szCs w:val="24"/>
        </w:rPr>
      </w:pPr>
      <w:r w:rsidRPr="0007571D">
        <w:rPr>
          <w:rFonts w:ascii="Copperplate Gothic Bold" w:hAnsi="Copperplate Gothic Bold" w:cstheme="minorHAnsi"/>
          <w:sz w:val="24"/>
          <w:szCs w:val="24"/>
        </w:rPr>
        <w:t>Claims are to be paid either to the insured or the nominees of the insured by the insurer under the agreement or the terms of the contract of insurance. The important terms of the insurance contract and payment of the insurance claims are the payment of insurance claim either on happening of event or on the date of maturity.</w:t>
      </w:r>
    </w:p>
    <w:p w14:paraId="00CB1728" w14:textId="77777777" w:rsidR="009A48D7" w:rsidRPr="0007571D" w:rsidRDefault="009A48D7" w:rsidP="00271A96">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Basically, the following are the different types of claims which come up before an Insurance Company.</w:t>
      </w:r>
    </w:p>
    <w:p w14:paraId="0A440CF0" w14:textId="77777777" w:rsidR="009A48D7" w:rsidRPr="0007571D" w:rsidRDefault="009A48D7" w:rsidP="00271A96">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1.Maturity Claims and Survival Benefits</w:t>
      </w:r>
    </w:p>
    <w:p w14:paraId="6FB0F787" w14:textId="77777777" w:rsidR="009A48D7" w:rsidRPr="0007571D" w:rsidRDefault="009A48D7" w:rsidP="00271A96">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2.Death Claims</w:t>
      </w:r>
    </w:p>
    <w:p w14:paraId="7314DF0D" w14:textId="77777777" w:rsidR="009A48D7" w:rsidRPr="0007571D" w:rsidRDefault="009A48D7" w:rsidP="00271A96">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3.Accident and Disability Claims and</w:t>
      </w:r>
    </w:p>
    <w:p w14:paraId="02BDF8A0" w14:textId="77777777" w:rsidR="009A48D7" w:rsidRPr="0007571D" w:rsidRDefault="009A48D7" w:rsidP="00271A96">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4.Annuity Payments</w:t>
      </w:r>
    </w:p>
    <w:p w14:paraId="69D13C39" w14:textId="337AE7BC" w:rsidR="00F721F0" w:rsidRPr="0007571D" w:rsidRDefault="009A48D7"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Settlement of claims under life insurance policies depend upon the nature of a claim, eligibility to policy moneys, proof of the happening of the event insured against, proof of title, etc</w:t>
      </w:r>
    </w:p>
    <w:p w14:paraId="5B4B90D0" w14:textId="7D604F8A" w:rsidR="00200F85" w:rsidRPr="0007571D" w:rsidRDefault="00200F85"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Q8B</w:t>
      </w:r>
    </w:p>
    <w:p w14:paraId="2DDEAE1C" w14:textId="77777777" w:rsidR="00F721F0" w:rsidRPr="0007571D" w:rsidRDefault="00F721F0"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The requirements for settlement of these claims are very simple. They are:</w:t>
      </w:r>
    </w:p>
    <w:p w14:paraId="52CA2876" w14:textId="631D932F" w:rsidR="00F721F0" w:rsidRPr="0007571D" w:rsidRDefault="00395002" w:rsidP="00F721F0">
      <w:pPr>
        <w:rPr>
          <w:rFonts w:ascii="Copperplate Gothic Bold" w:hAnsi="Copperplate Gothic Bold" w:cstheme="minorHAnsi"/>
          <w:sz w:val="24"/>
          <w:szCs w:val="24"/>
        </w:rPr>
      </w:pPr>
      <w:r>
        <w:rPr>
          <w:rFonts w:ascii="Copperplate Gothic Bold" w:hAnsi="Copperplate Gothic Bold" w:cstheme="minorHAnsi"/>
          <w:sz w:val="24"/>
          <w:szCs w:val="24"/>
        </w:rPr>
        <w:t>1</w:t>
      </w:r>
      <w:r w:rsidR="00F721F0" w:rsidRPr="0007571D">
        <w:rPr>
          <w:rFonts w:ascii="Copperplate Gothic Bold" w:hAnsi="Copperplate Gothic Bold" w:cstheme="minorHAnsi"/>
          <w:sz w:val="24"/>
          <w:szCs w:val="24"/>
        </w:rPr>
        <w:t>.A Discharge Voucher to be sent in advance</w:t>
      </w:r>
    </w:p>
    <w:p w14:paraId="307F0ADD" w14:textId="04BC2563" w:rsidR="00F721F0" w:rsidRPr="0007571D" w:rsidRDefault="00395002" w:rsidP="00F721F0">
      <w:pPr>
        <w:rPr>
          <w:rFonts w:ascii="Copperplate Gothic Bold" w:hAnsi="Copperplate Gothic Bold" w:cstheme="minorHAnsi"/>
          <w:sz w:val="24"/>
          <w:szCs w:val="24"/>
        </w:rPr>
      </w:pPr>
      <w:r>
        <w:rPr>
          <w:rFonts w:ascii="Copperplate Gothic Bold" w:hAnsi="Copperplate Gothic Bold" w:cstheme="minorHAnsi"/>
          <w:sz w:val="24"/>
          <w:szCs w:val="24"/>
        </w:rPr>
        <w:t>2</w:t>
      </w:r>
      <w:r w:rsidR="00F721F0" w:rsidRPr="0007571D">
        <w:rPr>
          <w:rFonts w:ascii="Copperplate Gothic Bold" w:hAnsi="Copperplate Gothic Bold" w:cstheme="minorHAnsi"/>
          <w:sz w:val="24"/>
          <w:szCs w:val="24"/>
        </w:rPr>
        <w:t>.Policy Document</w:t>
      </w:r>
    </w:p>
    <w:p w14:paraId="14D08B84" w14:textId="42E0A558" w:rsidR="00F721F0" w:rsidRPr="0007571D" w:rsidRDefault="00395002" w:rsidP="00F721F0">
      <w:pPr>
        <w:rPr>
          <w:rFonts w:ascii="Copperplate Gothic Bold" w:hAnsi="Copperplate Gothic Bold" w:cstheme="minorHAnsi"/>
          <w:sz w:val="24"/>
          <w:szCs w:val="24"/>
        </w:rPr>
      </w:pPr>
      <w:r>
        <w:rPr>
          <w:rFonts w:ascii="Copperplate Gothic Bold" w:hAnsi="Copperplate Gothic Bold" w:cstheme="minorHAnsi"/>
          <w:sz w:val="24"/>
          <w:szCs w:val="24"/>
        </w:rPr>
        <w:t>3</w:t>
      </w:r>
      <w:r w:rsidR="00F721F0" w:rsidRPr="0007571D">
        <w:rPr>
          <w:rFonts w:ascii="Copperplate Gothic Bold" w:hAnsi="Copperplate Gothic Bold" w:cstheme="minorHAnsi"/>
          <w:sz w:val="24"/>
          <w:szCs w:val="24"/>
        </w:rPr>
        <w:t>.Any Deed of Assignment, if the same was executed on a separate Stamp Paper.</w:t>
      </w:r>
    </w:p>
    <w:p w14:paraId="1F850885" w14:textId="77777777" w:rsidR="00F721F0" w:rsidRPr="0007571D" w:rsidRDefault="00F721F0"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As the policyholder is alive, obtaining these requirements poses very little problem. A few problems are likely to arise when a Policy Document is misplaced. Usually, in such cases, the  Corporation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w:t>
      </w:r>
    </w:p>
    <w:p w14:paraId="38B25E76" w14:textId="494CE538" w:rsidR="00F721F0" w:rsidRPr="0007571D" w:rsidRDefault="00F721F0" w:rsidP="00F721F0">
      <w:pPr>
        <w:rPr>
          <w:rFonts w:ascii="Copperplate Gothic Bold" w:hAnsi="Copperplate Gothic Bold" w:cstheme="minorHAnsi"/>
          <w:sz w:val="24"/>
          <w:szCs w:val="24"/>
        </w:rPr>
      </w:pPr>
    </w:p>
    <w:p w14:paraId="26026EF6" w14:textId="48EE2EE9" w:rsidR="00F14F87" w:rsidRPr="0007571D" w:rsidRDefault="00F14F87"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Q10</w:t>
      </w:r>
    </w:p>
    <w:p w14:paraId="6BAA44D2"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 xml:space="preserve">The insurance industry has </w:t>
      </w:r>
      <w:proofErr w:type="spellStart"/>
      <w:r w:rsidRPr="0007571D">
        <w:rPr>
          <w:rFonts w:ascii="Copperplate Gothic Bold" w:hAnsi="Copperplate Gothic Bold" w:cstheme="minorHAnsi"/>
          <w:sz w:val="24"/>
          <w:szCs w:val="24"/>
        </w:rPr>
        <w:t>grownup</w:t>
      </w:r>
      <w:proofErr w:type="spellEnd"/>
      <w:r w:rsidRPr="0007571D">
        <w:rPr>
          <w:rFonts w:ascii="Copperplate Gothic Bold" w:hAnsi="Copperplate Gothic Bold" w:cstheme="minorHAnsi"/>
          <w:sz w:val="24"/>
          <w:szCs w:val="24"/>
        </w:rPr>
        <w:t xml:space="preserve"> to become a veritable institution, with over 6000 insurance companies worldwide collecting $ 800 billion in premiums each year and holding assets with an estimated value of $ 2.7 trillion. Among the various insurance companies are those that offer general insurance coverage including health, automobile, homeowners, life and disability, etc., and those who specialize in one or more of the aforementioned types of insurance. With the deregulation of the banking and brokerage industries, large conglomerates have been formed that offer every imaginable </w:t>
      </w:r>
      <w:proofErr w:type="spellStart"/>
      <w:r w:rsidRPr="0007571D">
        <w:rPr>
          <w:rFonts w:ascii="Copperplate Gothic Bold" w:hAnsi="Copperplate Gothic Bold" w:cstheme="minorHAnsi"/>
          <w:sz w:val="24"/>
          <w:szCs w:val="24"/>
        </w:rPr>
        <w:t>nancial</w:t>
      </w:r>
      <w:proofErr w:type="spellEnd"/>
      <w:r w:rsidRPr="0007571D">
        <w:rPr>
          <w:rFonts w:ascii="Copperplate Gothic Bold" w:hAnsi="Copperplate Gothic Bold" w:cstheme="minorHAnsi"/>
          <w:sz w:val="24"/>
          <w:szCs w:val="24"/>
        </w:rPr>
        <w:t xml:space="preserve"> service. It is now common for these large corporations to offer a variety of insurance plans. In this regard with a large consumer base it becomes necessary for any provider of insurance </w:t>
      </w:r>
      <w:r w:rsidRPr="0007571D">
        <w:rPr>
          <w:rFonts w:ascii="Copperplate Gothic Bold" w:hAnsi="Copperplate Gothic Bold" w:cstheme="minorHAnsi"/>
          <w:sz w:val="24"/>
          <w:szCs w:val="24"/>
        </w:rPr>
        <w:lastRenderedPageBreak/>
        <w:t xml:space="preserve">services to have claims management staff and support systems. With more stringent regulations in place, it will be </w:t>
      </w:r>
      <w:proofErr w:type="spellStart"/>
      <w:r w:rsidRPr="0007571D">
        <w:rPr>
          <w:rFonts w:ascii="Copperplate Gothic Bold" w:hAnsi="Copperplate Gothic Bold" w:cstheme="minorHAnsi"/>
          <w:sz w:val="24"/>
          <w:szCs w:val="24"/>
        </w:rPr>
        <w:t>dif</w:t>
      </w:r>
      <w:proofErr w:type="spellEnd"/>
      <w:r w:rsidRPr="0007571D">
        <w:rPr>
          <w:rFonts w:ascii="Copperplate Gothic Bold" w:hAnsi="Copperplate Gothic Bold" w:cstheme="minorHAnsi"/>
          <w:sz w:val="24"/>
          <w:szCs w:val="24"/>
        </w:rPr>
        <w:t xml:space="preserve"> cult for insurance companies to repudiate claims for every other reason. Information technology is helping the insurance companies to manage claims. Many </w:t>
      </w:r>
      <w:proofErr w:type="spellStart"/>
      <w:r w:rsidRPr="0007571D">
        <w:rPr>
          <w:rFonts w:ascii="Copperplate Gothic Bold" w:hAnsi="Copperplate Gothic Bold" w:cstheme="minorHAnsi"/>
          <w:sz w:val="24"/>
          <w:szCs w:val="24"/>
        </w:rPr>
        <w:t>softwares</w:t>
      </w:r>
      <w:proofErr w:type="spellEnd"/>
      <w:r w:rsidRPr="0007571D">
        <w:rPr>
          <w:rFonts w:ascii="Copperplate Gothic Bold" w:hAnsi="Copperplate Gothic Bold" w:cstheme="minorHAnsi"/>
          <w:sz w:val="24"/>
          <w:szCs w:val="24"/>
        </w:rPr>
        <w:t xml:space="preserve"> for insurance claims have hit the market. A popular one among them is Claims Management Systems (CMS). It is called Managing, Organizing and Documenting Every Loss</w:t>
      </w:r>
    </w:p>
    <w:p w14:paraId="7E1F0AFF"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(MODEL). This software is developed by Scott Insurance. The highlights are –</w:t>
      </w:r>
    </w:p>
    <w:p w14:paraId="07F5C942"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20. Automatic completion of state required forms</w:t>
      </w:r>
    </w:p>
    <w:p w14:paraId="7B369CC0"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21. Internal claims management training</w:t>
      </w:r>
    </w:p>
    <w:p w14:paraId="79285F4B"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22. Adjuster-to-adjuster claims planning and oversight</w:t>
      </w:r>
    </w:p>
    <w:p w14:paraId="1CDCAFAB"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23. Physician-to-physician medical reviews</w:t>
      </w:r>
    </w:p>
    <w:p w14:paraId="594BEA7E"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24. Organization of all information in one place</w:t>
      </w:r>
    </w:p>
    <w:p w14:paraId="506FC687"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25. Conversation/event documentation</w:t>
      </w:r>
    </w:p>
    <w:p w14:paraId="6B201251"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26. Internal/external claims information communication</w:t>
      </w:r>
    </w:p>
    <w:p w14:paraId="486B8F22"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27. Progress tracking</w:t>
      </w:r>
    </w:p>
    <w:p w14:paraId="615EDFCB"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28. Follow-up for timely return to work, closing or settling claim</w:t>
      </w:r>
    </w:p>
    <w:p w14:paraId="0FBC63CA" w14:textId="77777777" w:rsidR="00F14F87" w:rsidRPr="0007571D" w:rsidRDefault="00F14F87" w:rsidP="00F14F87">
      <w:pPr>
        <w:spacing w:after="0" w:line="276" w:lineRule="auto"/>
        <w:rPr>
          <w:rFonts w:ascii="Copperplate Gothic Bold" w:hAnsi="Copperplate Gothic Bold" w:cstheme="minorHAnsi"/>
          <w:sz w:val="24"/>
          <w:szCs w:val="24"/>
        </w:rPr>
      </w:pPr>
      <w:r w:rsidRPr="0007571D">
        <w:rPr>
          <w:rFonts w:ascii="Copperplate Gothic Bold" w:hAnsi="Copperplate Gothic Bold" w:cstheme="minorHAnsi"/>
          <w:sz w:val="24"/>
          <w:szCs w:val="24"/>
        </w:rPr>
        <w:t>29. Entries for workers’ compensation, property, general liability and automobile claims. A study reveals that the costs of claims are increasing at an annual rate of three times the rate of inflation. In such an environment it becomes imperative to have a claims management department to monitor and control the costs.</w:t>
      </w:r>
    </w:p>
    <w:p w14:paraId="757BBF8B" w14:textId="07F25895" w:rsidR="00D3643D" w:rsidRDefault="00D3643D" w:rsidP="005227BA">
      <w:pPr>
        <w:rPr>
          <w:rFonts w:cstheme="minorHAnsi"/>
          <w:sz w:val="24"/>
          <w:szCs w:val="24"/>
        </w:rPr>
      </w:pPr>
    </w:p>
    <w:p w14:paraId="773CEEE5" w14:textId="6359545B" w:rsidR="00D3643D" w:rsidRPr="0007571D" w:rsidRDefault="00D3643D" w:rsidP="005227BA">
      <w:pPr>
        <w:rPr>
          <w:rFonts w:ascii="Copperplate Gothic Bold" w:hAnsi="Copperplate Gothic Bold" w:cstheme="minorHAnsi"/>
          <w:sz w:val="24"/>
          <w:szCs w:val="24"/>
        </w:rPr>
      </w:pPr>
      <w:r w:rsidRPr="0007571D">
        <w:rPr>
          <w:rFonts w:ascii="Copperplate Gothic Bold" w:hAnsi="Copperplate Gothic Bold" w:cstheme="minorHAnsi"/>
          <w:sz w:val="24"/>
          <w:szCs w:val="24"/>
        </w:rPr>
        <w:t>Q12</w:t>
      </w:r>
    </w:p>
    <w:p w14:paraId="22431080" w14:textId="77777777" w:rsidR="00D3643D" w:rsidRPr="0007571D" w:rsidRDefault="00D3643D" w:rsidP="00D3643D">
      <w:pPr>
        <w:rPr>
          <w:rFonts w:ascii="Copperplate Gothic Bold" w:hAnsi="Copperplate Gothic Bold" w:cstheme="minorHAnsi"/>
          <w:sz w:val="24"/>
          <w:szCs w:val="24"/>
          <w:u w:val="single"/>
        </w:rPr>
      </w:pPr>
      <w:r w:rsidRPr="0007571D">
        <w:rPr>
          <w:rFonts w:ascii="Copperplate Gothic Bold" w:hAnsi="Copperplate Gothic Bold" w:cstheme="minorHAnsi"/>
          <w:sz w:val="24"/>
          <w:szCs w:val="24"/>
        </w:rPr>
        <w:t>At the end of a year’s business the insurance company determines the surplus accumulated in</w:t>
      </w:r>
      <w:r w:rsidRPr="0007571D">
        <w:rPr>
          <w:rFonts w:ascii="Copperplate Gothic Bold" w:hAnsi="Copperplate Gothic Bold" w:cstheme="minorHAnsi"/>
          <w:sz w:val="24"/>
          <w:szCs w:val="24"/>
          <w:u w:val="single"/>
        </w:rPr>
        <w:t xml:space="preserve"> </w:t>
      </w:r>
      <w:r w:rsidRPr="0007571D">
        <w:rPr>
          <w:rFonts w:ascii="Copperplate Gothic Bold" w:hAnsi="Copperplate Gothic Bold" w:cstheme="minorHAnsi"/>
          <w:sz w:val="24"/>
          <w:szCs w:val="24"/>
        </w:rPr>
        <w:t>addition to the surplus carried on from the previous years. After such a calculation, the company decides the percentage of surplus, which has to be retained as contingency fund, and also the</w:t>
      </w:r>
      <w:r w:rsidRPr="0007571D">
        <w:rPr>
          <w:rFonts w:ascii="Copperplate Gothic Bold" w:hAnsi="Copperplate Gothic Bold" w:cstheme="minorHAnsi"/>
          <w:sz w:val="24"/>
          <w:szCs w:val="24"/>
          <w:u w:val="single"/>
        </w:rPr>
        <w:t xml:space="preserve"> </w:t>
      </w:r>
      <w:r w:rsidRPr="0007571D">
        <w:rPr>
          <w:rFonts w:ascii="Copperplate Gothic Bold" w:hAnsi="Copperplate Gothic Bold" w:cstheme="minorHAnsi"/>
          <w:sz w:val="24"/>
          <w:szCs w:val="24"/>
        </w:rPr>
        <w:t>percentage that should be distributed to policy owners. The amount set aside for distribution as</w:t>
      </w:r>
      <w:r w:rsidRPr="0007571D">
        <w:rPr>
          <w:rFonts w:ascii="Copperplate Gothic Bold" w:hAnsi="Copperplate Gothic Bold" w:cstheme="minorHAnsi"/>
          <w:sz w:val="24"/>
          <w:szCs w:val="24"/>
          <w:u w:val="single"/>
        </w:rPr>
        <w:t xml:space="preserve"> </w:t>
      </w:r>
      <w:r w:rsidRPr="0007571D">
        <w:rPr>
          <w:rFonts w:ascii="Copperplate Gothic Bold" w:hAnsi="Copperplate Gothic Bold" w:cstheme="minorHAnsi"/>
          <w:sz w:val="24"/>
          <w:szCs w:val="24"/>
        </w:rPr>
        <w:t xml:space="preserve">dividend to policy owners is called </w:t>
      </w:r>
      <w:r w:rsidRPr="0007571D">
        <w:rPr>
          <w:rFonts w:ascii="Copperplate Gothic Bold" w:hAnsi="Copperplate Gothic Bold" w:cstheme="minorHAnsi"/>
          <w:sz w:val="24"/>
          <w:szCs w:val="24"/>
          <w:u w:val="single"/>
        </w:rPr>
        <w:t>Divisible surplus.</w:t>
      </w:r>
    </w:p>
    <w:p w14:paraId="01DCCCA8"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rPr>
        <w:t>The percentage to be set aside for distribution is decided by the trustees or directors of the insurance company. Once the divisible surplus is decided it is no more a surplus but a liability for the insurer. There are certain basic norms that an insurance company has to abide with, while determining the divisible surplus. They are as follows:</w:t>
      </w:r>
    </w:p>
    <w:p w14:paraId="0EA3E775"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i/>
          <w:iCs/>
          <w:sz w:val="24"/>
          <w:szCs w:val="24"/>
          <w:u w:val="single"/>
        </w:rPr>
        <w:t>Equity:</w:t>
      </w:r>
      <w:r w:rsidRPr="0007571D">
        <w:rPr>
          <w:rFonts w:ascii="Copperplate Gothic Bold" w:hAnsi="Copperplate Gothic Bold" w:cstheme="minorHAnsi"/>
          <w:sz w:val="24"/>
          <w:szCs w:val="24"/>
        </w:rPr>
        <w:t xml:space="preserve"> The distribution of surplus should be fair and proportionate, that is the policies contributing more to the surplus should be given a better share.</w:t>
      </w:r>
    </w:p>
    <w:p w14:paraId="40F31D3E"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i/>
          <w:iCs/>
          <w:sz w:val="24"/>
          <w:szCs w:val="24"/>
          <w:u w:val="single"/>
        </w:rPr>
        <w:t>Flexibility</w:t>
      </w:r>
      <w:r w:rsidRPr="0007571D">
        <w:rPr>
          <w:rFonts w:ascii="Copperplate Gothic Bold" w:hAnsi="Copperplate Gothic Bold" w:cstheme="minorHAnsi"/>
          <w:sz w:val="24"/>
          <w:szCs w:val="24"/>
        </w:rPr>
        <w:t>: The divisible surplus should be flexible according to the situation.</w:t>
      </w:r>
    </w:p>
    <w:p w14:paraId="49B5A4AC"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i/>
          <w:iCs/>
          <w:sz w:val="24"/>
          <w:szCs w:val="24"/>
          <w:u w:val="single"/>
        </w:rPr>
        <w:t>Simplicity</w:t>
      </w:r>
      <w:r w:rsidRPr="0007571D">
        <w:rPr>
          <w:rFonts w:ascii="Copperplate Gothic Bold" w:hAnsi="Copperplate Gothic Bold" w:cstheme="minorHAnsi"/>
          <w:sz w:val="24"/>
          <w:szCs w:val="24"/>
        </w:rPr>
        <w:t>: The method employed in ascertaining the divisible surplus should be simple and uncomplicated for easy understanding by the shareholders. The process should also be transparent.</w:t>
      </w:r>
    </w:p>
    <w:p w14:paraId="587B2975" w14:textId="38EF1A4E" w:rsidR="00D3643D" w:rsidRPr="0007571D" w:rsidRDefault="00D3643D" w:rsidP="00D3643D">
      <w:pPr>
        <w:rPr>
          <w:rFonts w:ascii="Copperplate Gothic Bold" w:hAnsi="Copperplate Gothic Bold" w:cstheme="minorHAnsi"/>
          <w:sz w:val="24"/>
          <w:szCs w:val="24"/>
        </w:rPr>
      </w:pPr>
    </w:p>
    <w:p w14:paraId="14E7F8DE" w14:textId="77777777" w:rsidR="00D3643D" w:rsidRPr="0007571D" w:rsidRDefault="00D3643D" w:rsidP="005227BA">
      <w:pPr>
        <w:rPr>
          <w:rFonts w:ascii="Copperplate Gothic Bold" w:hAnsi="Copperplate Gothic Bold" w:cstheme="minorHAnsi"/>
          <w:sz w:val="24"/>
          <w:szCs w:val="24"/>
        </w:rPr>
      </w:pPr>
    </w:p>
    <w:p w14:paraId="614394AC" w14:textId="02D6B397" w:rsidR="00244E14" w:rsidRPr="0007571D" w:rsidRDefault="00D3643D" w:rsidP="00244E14">
      <w:pPr>
        <w:rPr>
          <w:rFonts w:ascii="Copperplate Gothic Bold" w:hAnsi="Copperplate Gothic Bold"/>
        </w:rPr>
      </w:pPr>
      <w:r w:rsidRPr="0007571D">
        <w:rPr>
          <w:rFonts w:ascii="Copperplate Gothic Bold" w:hAnsi="Copperplate Gothic Bold"/>
        </w:rPr>
        <w:t>Q13</w:t>
      </w:r>
    </w:p>
    <w:p w14:paraId="6F723458" w14:textId="1C0CCB06" w:rsidR="00494895" w:rsidRPr="0007571D" w:rsidRDefault="00494895" w:rsidP="00494895">
      <w:pPr>
        <w:rPr>
          <w:rFonts w:ascii="Copperplate Gothic Bold" w:hAnsi="Copperplate Gothic Bold" w:cstheme="minorHAnsi"/>
          <w:sz w:val="24"/>
          <w:szCs w:val="24"/>
        </w:rPr>
      </w:pPr>
      <w:r w:rsidRPr="0007571D">
        <w:rPr>
          <w:rFonts w:ascii="Copperplate Gothic Bold" w:hAnsi="Copperplate Gothic Bold" w:cstheme="minorHAnsi"/>
          <w:sz w:val="24"/>
          <w:szCs w:val="24"/>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 In life insurance there are five sources of surplus:</w:t>
      </w:r>
    </w:p>
    <w:p w14:paraId="60D0E10A" w14:textId="36FD0038" w:rsidR="00D3643D" w:rsidRPr="0007571D" w:rsidRDefault="00D3643D" w:rsidP="002F5AB4">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Surplus from investment earnings</w:t>
      </w:r>
    </w:p>
    <w:p w14:paraId="485625F2" w14:textId="0BB62481" w:rsidR="00D3643D" w:rsidRPr="0007571D" w:rsidRDefault="00D3643D" w:rsidP="002F5AB4">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 xml:space="preserve">Surplus from mortality </w:t>
      </w:r>
    </w:p>
    <w:p w14:paraId="6F596CCA" w14:textId="65A31D50" w:rsidR="00D3643D" w:rsidRPr="0007571D" w:rsidRDefault="00D3643D" w:rsidP="002F5AB4">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Surplus from Loading</w:t>
      </w:r>
    </w:p>
    <w:p w14:paraId="54AF7D17" w14:textId="3DA86599" w:rsidR="00D3643D" w:rsidRPr="0007571D" w:rsidRDefault="00D3643D" w:rsidP="002F5AB4">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Surplus from surrenders</w:t>
      </w:r>
    </w:p>
    <w:p w14:paraId="5B5069F0" w14:textId="053AFB01" w:rsidR="00D3643D" w:rsidRPr="0007571D" w:rsidRDefault="00D3643D" w:rsidP="002F5AB4">
      <w:pPr>
        <w:spacing w:after="0"/>
        <w:rPr>
          <w:rFonts w:ascii="Copperplate Gothic Bold" w:hAnsi="Copperplate Gothic Bold" w:cstheme="minorHAnsi"/>
          <w:sz w:val="24"/>
          <w:szCs w:val="24"/>
        </w:rPr>
      </w:pPr>
      <w:r w:rsidRPr="0007571D">
        <w:rPr>
          <w:rFonts w:ascii="Copperplate Gothic Bold" w:hAnsi="Copperplate Gothic Bold" w:cstheme="minorHAnsi"/>
          <w:sz w:val="24"/>
          <w:szCs w:val="24"/>
        </w:rPr>
        <w:t>Distribution of surplus</w:t>
      </w:r>
    </w:p>
    <w:p w14:paraId="53984D86" w14:textId="77777777" w:rsidR="002F5AB4" w:rsidRPr="0007571D" w:rsidRDefault="002F5AB4" w:rsidP="00D3643D">
      <w:pPr>
        <w:rPr>
          <w:rFonts w:ascii="Copperplate Gothic Bold" w:hAnsi="Copperplate Gothic Bold" w:cstheme="minorHAnsi"/>
          <w:sz w:val="24"/>
          <w:szCs w:val="24"/>
        </w:rPr>
      </w:pPr>
    </w:p>
    <w:p w14:paraId="61F512AC" w14:textId="77777777" w:rsidR="002F5AB4" w:rsidRPr="0007571D" w:rsidRDefault="002F5AB4" w:rsidP="00D3643D">
      <w:pPr>
        <w:rPr>
          <w:rFonts w:ascii="Copperplate Gothic Bold" w:hAnsi="Copperplate Gothic Bold" w:cstheme="minorHAnsi"/>
          <w:sz w:val="24"/>
          <w:szCs w:val="24"/>
        </w:rPr>
      </w:pPr>
    </w:p>
    <w:p w14:paraId="5BC637CA" w14:textId="14E2F59C"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rPr>
        <w:t>Q14</w:t>
      </w:r>
    </w:p>
    <w:p w14:paraId="43278C37" w14:textId="44E3371D"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rPr>
        <w:t>DIFFERENT METHODS FOR DISTRIBUTION OF DIVISIBLE SURPLUS</w:t>
      </w:r>
    </w:p>
    <w:p w14:paraId="5F3B01FB"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u w:val="single"/>
        </w:rPr>
        <w:t>Contribution Method:</w:t>
      </w:r>
      <w:r w:rsidRPr="0007571D">
        <w:rPr>
          <w:rFonts w:ascii="Copperplate Gothic Bold" w:hAnsi="Copperplate Gothic Bold" w:cstheme="minorHAnsi"/>
          <w:sz w:val="24"/>
          <w:szCs w:val="24"/>
        </w:rPr>
        <w:t xml:space="preserve">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14:paraId="75C7D884"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u w:val="single"/>
        </w:rPr>
        <w:t>Simple Reversionary Method:</w:t>
      </w:r>
      <w:r w:rsidRPr="0007571D">
        <w:rPr>
          <w:rFonts w:ascii="Copperplate Gothic Bold" w:hAnsi="Copperplate Gothic Bold" w:cstheme="minorHAnsi"/>
          <w:sz w:val="24"/>
          <w:szCs w:val="24"/>
        </w:rPr>
        <w:t xml:space="preserve"> In this method the bonus is paid in addition to the sum insured, when the event for which insurance is provided occurs, that is death during the term of the policy, or on maturity of the policy. Therefore it is termed as reversionary. It is a popular method as it allows the insurer to retain the surplus enabling him to earn interests on it. It also gives an incentive to policyholders to maintain their policies. Furthermore it is a very simple procedure.</w:t>
      </w:r>
    </w:p>
    <w:p w14:paraId="2CC61FAB" w14:textId="122B86F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u w:val="single"/>
        </w:rPr>
        <w:t>Compound Reversionary Bonus System</w:t>
      </w:r>
      <w:r w:rsidRPr="0007571D">
        <w:rPr>
          <w:rFonts w:ascii="Copperplate Gothic Bold" w:hAnsi="Copperplate Gothic Bold" w:cstheme="minorHAnsi"/>
          <w:sz w:val="24"/>
          <w:szCs w:val="24"/>
        </w:rPr>
        <w:t>: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w:t>
      </w:r>
    </w:p>
    <w:p w14:paraId="47B9B518"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u w:val="single"/>
        </w:rPr>
        <w:t>Interim Bonus:</w:t>
      </w:r>
      <w:r w:rsidRPr="0007571D">
        <w:rPr>
          <w:rFonts w:ascii="Copperplate Gothic Bold" w:hAnsi="Copperplate Gothic Bold" w:cstheme="minorHAnsi"/>
          <w:sz w:val="24"/>
          <w:szCs w:val="24"/>
        </w:rPr>
        <w:t xml:space="preserve">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w:t>
      </w:r>
    </w:p>
    <w:p w14:paraId="3A65289E" w14:textId="77777777" w:rsidR="00D3643D" w:rsidRPr="0007571D" w:rsidRDefault="00D3643D" w:rsidP="00D3643D">
      <w:pPr>
        <w:rPr>
          <w:rFonts w:ascii="Copperplate Gothic Bold" w:hAnsi="Copperplate Gothic Bold" w:cstheme="minorHAnsi"/>
          <w:sz w:val="24"/>
          <w:szCs w:val="24"/>
        </w:rPr>
      </w:pPr>
      <w:r w:rsidRPr="0007571D">
        <w:rPr>
          <w:rFonts w:ascii="Copperplate Gothic Bold" w:hAnsi="Copperplate Gothic Bold" w:cstheme="minorHAnsi"/>
          <w:sz w:val="24"/>
          <w:szCs w:val="24"/>
          <w:u w:val="single"/>
        </w:rPr>
        <w:t>Guaranteed Bonus</w:t>
      </w:r>
      <w:r w:rsidRPr="0007571D">
        <w:rPr>
          <w:rFonts w:ascii="Copperplate Gothic Bold" w:hAnsi="Copperplate Gothic Bold" w:cstheme="minorHAnsi"/>
          <w:sz w:val="24"/>
          <w:szCs w:val="24"/>
        </w:rPr>
        <w:t>: This method is applicable for without profit policies, which are not entitled to surplus of actuarial valuation. In this process there is guaranteed addition of bonus at a fixed rate for every year, to the sum assured, as long as the policy is in force.</w:t>
      </w:r>
    </w:p>
    <w:p w14:paraId="033578A6" w14:textId="47D0E2D9" w:rsidR="00F721F0" w:rsidRPr="0007571D" w:rsidRDefault="00D3643D"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u w:val="single"/>
        </w:rPr>
        <w:t>Final Additional Bonus</w:t>
      </w:r>
      <w:r w:rsidRPr="0007571D">
        <w:rPr>
          <w:rFonts w:ascii="Copperplate Gothic Bold" w:hAnsi="Copperplate Gothic Bold" w:cstheme="minorHAnsi"/>
          <w:sz w:val="24"/>
          <w:szCs w:val="24"/>
        </w:rPr>
        <w:t xml:space="preserve">: This is an extra bonus paid by the company to policyholders apart from the usual annual bonus. </w:t>
      </w:r>
    </w:p>
    <w:p w14:paraId="601B8BE6" w14:textId="77777777" w:rsidR="00271A96" w:rsidRPr="0007571D" w:rsidRDefault="00271A96" w:rsidP="00F721F0">
      <w:pPr>
        <w:rPr>
          <w:rFonts w:ascii="Copperplate Gothic Bold" w:hAnsi="Copperplate Gothic Bold" w:cstheme="minorHAnsi"/>
          <w:sz w:val="24"/>
          <w:szCs w:val="24"/>
        </w:rPr>
      </w:pPr>
    </w:p>
    <w:p w14:paraId="1219AAA0" w14:textId="573FDD46" w:rsidR="00F721F0" w:rsidRPr="0007571D" w:rsidRDefault="00F721F0"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Q15</w:t>
      </w:r>
    </w:p>
    <w:p w14:paraId="5C314308" w14:textId="35622B08" w:rsidR="00F721F0" w:rsidRPr="0007571D" w:rsidRDefault="00F721F0"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In life insurance the word ‘surplus’ signifies an estimated profit. This is because the calculation of profit in insurance business is slightly different from other businesses. We all know that normally profit is the excess over the cost price of a product. Thus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w:t>
      </w:r>
    </w:p>
    <w:p w14:paraId="68E57D85" w14:textId="77777777" w:rsidR="00F721F0" w:rsidRPr="0007571D" w:rsidRDefault="00F721F0" w:rsidP="00F721F0">
      <w:pPr>
        <w:rPr>
          <w:rFonts w:ascii="Copperplate Gothic Bold" w:hAnsi="Copperplate Gothic Bold" w:cstheme="minorHAnsi"/>
          <w:sz w:val="24"/>
          <w:szCs w:val="24"/>
        </w:rPr>
      </w:pPr>
      <w:r w:rsidRPr="0007571D">
        <w:rPr>
          <w:rFonts w:ascii="Copperplate Gothic Bold" w:hAnsi="Copperplate Gothic Bold" w:cstheme="minorHAnsi"/>
          <w:sz w:val="24"/>
          <w:szCs w:val="24"/>
        </w:rPr>
        <w:t>Likewise if the actual experience of the insurer is the same as the projected value at the time of premium calculations then the difference between the liability of the insurer and the life fund is considered as profit achieved on the basis of margin provided while calculating premium.</w:t>
      </w:r>
    </w:p>
    <w:p w14:paraId="61E13993" w14:textId="186A9A4A" w:rsidR="00244E14" w:rsidRPr="0007571D" w:rsidRDefault="00244E14" w:rsidP="00244E14">
      <w:pPr>
        <w:rPr>
          <w:rFonts w:ascii="Copperplate Gothic Bold" w:hAnsi="Copperplate Gothic Bold"/>
        </w:rPr>
      </w:pPr>
    </w:p>
    <w:p w14:paraId="49F2BA21" w14:textId="77777777" w:rsidR="00244E14" w:rsidRPr="0007571D" w:rsidRDefault="00244E14" w:rsidP="00244E14">
      <w:pPr>
        <w:rPr>
          <w:rFonts w:ascii="Copperplate Gothic Bold" w:hAnsi="Copperplate Gothic Bold"/>
        </w:rPr>
      </w:pPr>
    </w:p>
    <w:p w14:paraId="1EAB342E" w14:textId="77777777" w:rsidR="00244E14" w:rsidRPr="0007571D" w:rsidRDefault="00244E14" w:rsidP="00244E14">
      <w:pPr>
        <w:rPr>
          <w:rFonts w:ascii="Copperplate Gothic Bold" w:hAnsi="Copperplate Gothic Bold"/>
        </w:rPr>
      </w:pPr>
    </w:p>
    <w:sectPr w:rsidR="00244E14" w:rsidRPr="0007571D" w:rsidSect="00E41128">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392C" w14:textId="77777777" w:rsidR="009D36A7" w:rsidRDefault="009D36A7" w:rsidP="0007571D">
      <w:pPr>
        <w:spacing w:after="0" w:line="240" w:lineRule="auto"/>
      </w:pPr>
      <w:r>
        <w:separator/>
      </w:r>
    </w:p>
  </w:endnote>
  <w:endnote w:type="continuationSeparator" w:id="0">
    <w:p w14:paraId="0BC9265D" w14:textId="77777777" w:rsidR="009D36A7" w:rsidRDefault="009D36A7" w:rsidP="0007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D03B" w14:textId="77777777" w:rsidR="009D36A7" w:rsidRDefault="009D36A7" w:rsidP="0007571D">
      <w:pPr>
        <w:spacing w:after="0" w:line="240" w:lineRule="auto"/>
      </w:pPr>
      <w:r>
        <w:separator/>
      </w:r>
    </w:p>
  </w:footnote>
  <w:footnote w:type="continuationSeparator" w:id="0">
    <w:p w14:paraId="10C45C42" w14:textId="77777777" w:rsidR="009D36A7" w:rsidRDefault="009D36A7" w:rsidP="00075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4B35" w14:textId="22B5E3C5" w:rsidR="0007571D" w:rsidRPr="0007571D" w:rsidRDefault="0007571D">
    <w:pPr>
      <w:pStyle w:val="Header"/>
      <w:rPr>
        <w:rFonts w:ascii="Algerian" w:hAnsi="Algerian"/>
        <w:sz w:val="36"/>
        <w:szCs w:val="36"/>
        <w:lang w:val="en-US"/>
      </w:rPr>
    </w:pPr>
    <w:r w:rsidRPr="0007571D">
      <w:rPr>
        <w:rFonts w:ascii="Algerian" w:hAnsi="Algerian"/>
        <w:sz w:val="36"/>
        <w:szCs w:val="36"/>
        <w:lang w:val="en-US"/>
      </w:rPr>
      <w:t xml:space="preserve">                                        LIFE INSURANCE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14"/>
    <w:rsid w:val="0007571D"/>
    <w:rsid w:val="00200F85"/>
    <w:rsid w:val="00237102"/>
    <w:rsid w:val="00244E14"/>
    <w:rsid w:val="00271A96"/>
    <w:rsid w:val="002D0025"/>
    <w:rsid w:val="002F5AB4"/>
    <w:rsid w:val="00395002"/>
    <w:rsid w:val="00494895"/>
    <w:rsid w:val="005227BA"/>
    <w:rsid w:val="006E1926"/>
    <w:rsid w:val="009A48D7"/>
    <w:rsid w:val="009D36A7"/>
    <w:rsid w:val="00B71EFC"/>
    <w:rsid w:val="00C40F5C"/>
    <w:rsid w:val="00D3643D"/>
    <w:rsid w:val="00E41128"/>
    <w:rsid w:val="00F14F87"/>
    <w:rsid w:val="00F721F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9AF7"/>
  <w15:chartTrackingRefBased/>
  <w15:docId w15:val="{31D4634D-8937-44A7-A043-A630AA75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28"/>
    <w:pPr>
      <w:ind w:left="720"/>
      <w:contextualSpacing/>
    </w:pPr>
  </w:style>
  <w:style w:type="paragraph" w:styleId="Header">
    <w:name w:val="header"/>
    <w:basedOn w:val="Normal"/>
    <w:link w:val="HeaderChar"/>
    <w:uiPriority w:val="99"/>
    <w:unhideWhenUsed/>
    <w:rsid w:val="00075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71D"/>
  </w:style>
  <w:style w:type="paragraph" w:styleId="Footer">
    <w:name w:val="footer"/>
    <w:basedOn w:val="Normal"/>
    <w:link w:val="FooterChar"/>
    <w:uiPriority w:val="99"/>
    <w:unhideWhenUsed/>
    <w:rsid w:val="00075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tendulkar</dc:creator>
  <cp:keywords/>
  <dc:description/>
  <cp:lastModifiedBy>Jeet Jejurikar</cp:lastModifiedBy>
  <cp:revision>4</cp:revision>
  <dcterms:created xsi:type="dcterms:W3CDTF">2022-01-20T16:51:00Z</dcterms:created>
  <dcterms:modified xsi:type="dcterms:W3CDTF">2022-01-25T11:14:00Z</dcterms:modified>
</cp:coreProperties>
</file>