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Davneeka Ranawat</w:t>
      </w:r>
    </w:p>
    <w:p w:rsidR="00000000" w:rsidDel="00000000" w:rsidP="00000000" w:rsidRDefault="00000000" w:rsidRPr="00000000" w14:paraId="00000002">
      <w:pPr>
        <w:rPr/>
      </w:pPr>
      <w:r w:rsidDel="00000000" w:rsidR="00000000" w:rsidRPr="00000000">
        <w:rPr>
          <w:rtl w:val="0"/>
        </w:rPr>
        <w:t xml:space="preserve">Business Finance Assignment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Answer 1</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 partnership entity is owned by more than one individual in equal or unequal proportion between the partners. It is not considered as a limited company, that is, the owners have unlimited liability and are jointly liable for business debts. </w:t>
      </w:r>
    </w:p>
    <w:p w:rsidR="00000000" w:rsidDel="00000000" w:rsidP="00000000" w:rsidRDefault="00000000" w:rsidRPr="00000000" w14:paraId="00000008">
      <w:pPr>
        <w:rPr/>
      </w:pPr>
      <w:r w:rsidDel="00000000" w:rsidR="00000000" w:rsidRPr="00000000">
        <w:rPr>
          <w:rtl w:val="0"/>
        </w:rPr>
        <w:t xml:space="preserve">Additionally, each partner is liable to the extent of their personal estate for the deficiencies of the partnership. Partners can be of various kinds, some being fully involved while others acting as sleeping partners (limited to contributing capital to the partnership).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On the other hand, a Limited Liability Partnership (LLP) provides benefits of limited liability while also retaining other characteristics of a traditional business partnership. Here, the members of the LLP are responsible for its assets and liabilities, where their liability is limited. </w:t>
      </w:r>
    </w:p>
    <w:p w:rsidR="00000000" w:rsidDel="00000000" w:rsidP="00000000" w:rsidRDefault="00000000" w:rsidRPr="00000000" w14:paraId="0000000B">
      <w:pPr>
        <w:rPr/>
      </w:pPr>
      <w:r w:rsidDel="00000000" w:rsidR="00000000" w:rsidRPr="00000000">
        <w:rPr>
          <w:rtl w:val="0"/>
        </w:rPr>
        <w:t xml:space="preserve">An LLP is governed by partnership agreement and is taxed in the same way as a traditional partnership.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Hence, it is safe to say that the medical practitioners in question here, should opt for an LLP, simply due to the limited nature of liability.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Answer 2</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According to the agency theory, the directors act on behalf of the shareholders who elected them in the first place. A shareholder’s long term interest in the development of the company is key to it’s strategic and managerial development. </w:t>
      </w:r>
    </w:p>
    <w:p w:rsidR="00000000" w:rsidDel="00000000" w:rsidP="00000000" w:rsidRDefault="00000000" w:rsidRPr="00000000" w14:paraId="00000013">
      <w:pPr>
        <w:rPr/>
      </w:pPr>
      <w:r w:rsidDel="00000000" w:rsidR="00000000" w:rsidRPr="00000000">
        <w:rPr>
          <w:rtl w:val="0"/>
        </w:rPr>
        <w:t xml:space="preserve">It can be said that Mr Lodha has stated the obvious in case of management decisions. It is true that shareholders are more concerned with high earning organisations since their primary aim is to maximise the value. Additionally, dividend payments and capital appreciation by high earning companies also plays a key role in shareholder’s decisions.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Answer 3</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Mr Kevin should consider subscribing to convertibles. It is because in case the company fails to deliver successfully, he still gets a fixed return on his investment. Whereas, in ESC and PSC, no such provision will be available to Mr Kevin. Moreover, if the company performs well, his invested capital can be used to generate greater returns.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Answer 4</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 public limited company is where the documentation states the public nature of the company. A prerequisite to being a public company is that it must have issued share capital of at least 50,000 GBP. The name of the company in this case, must also end with the words ‘public limited company or PLC’.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Any other company besides a public company can be classified as a private company. Here, the company’s name must end with the word ‘limited or LTD’. Additionally, a private company is not allowed to offer its shares to the public.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Answer 5</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 sole proprietorship is a business owned by one person and is not limited in nature. Such sole traders have unlimited legal liability for their business debt. No specific document is required to legally establish oneself as a sole proprietor.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Advantages</w:t>
      </w:r>
    </w:p>
    <w:p w:rsidR="00000000" w:rsidDel="00000000" w:rsidP="00000000" w:rsidRDefault="00000000" w:rsidRPr="00000000" w14:paraId="00000025">
      <w:pPr>
        <w:rPr/>
      </w:pPr>
      <w:r w:rsidDel="00000000" w:rsidR="00000000" w:rsidRPr="00000000">
        <w:rPr>
          <w:rtl w:val="0"/>
        </w:rPr>
        <w:t xml:space="preserve">Autonomous decision-making</w:t>
      </w:r>
    </w:p>
    <w:p w:rsidR="00000000" w:rsidDel="00000000" w:rsidP="00000000" w:rsidRDefault="00000000" w:rsidRPr="00000000" w14:paraId="00000026">
      <w:pPr>
        <w:rPr/>
      </w:pPr>
      <w:r w:rsidDel="00000000" w:rsidR="00000000" w:rsidRPr="00000000">
        <w:rPr>
          <w:rtl w:val="0"/>
        </w:rPr>
        <w:t xml:space="preserve">Lesser investment is required</w:t>
      </w:r>
    </w:p>
    <w:p w:rsidR="00000000" w:rsidDel="00000000" w:rsidP="00000000" w:rsidRDefault="00000000" w:rsidRPr="00000000" w14:paraId="00000027">
      <w:pPr>
        <w:rPr/>
      </w:pPr>
      <w:r w:rsidDel="00000000" w:rsidR="00000000" w:rsidRPr="00000000">
        <w:rPr>
          <w:rtl w:val="0"/>
        </w:rPr>
        <w:t xml:space="preserve">No legal requirements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Disadvantages</w:t>
      </w:r>
    </w:p>
    <w:p w:rsidR="00000000" w:rsidDel="00000000" w:rsidP="00000000" w:rsidRDefault="00000000" w:rsidRPr="00000000" w14:paraId="0000002A">
      <w:pPr>
        <w:rPr/>
      </w:pPr>
      <w:r w:rsidDel="00000000" w:rsidR="00000000" w:rsidRPr="00000000">
        <w:rPr>
          <w:rtl w:val="0"/>
        </w:rPr>
        <w:t xml:space="preserve">Greater chances of failure as limited knowledge and perspective put into the entity</w:t>
      </w:r>
    </w:p>
    <w:p w:rsidR="00000000" w:rsidDel="00000000" w:rsidP="00000000" w:rsidRDefault="00000000" w:rsidRPr="00000000" w14:paraId="0000002B">
      <w:pPr>
        <w:rPr/>
      </w:pPr>
      <w:r w:rsidDel="00000000" w:rsidR="00000000" w:rsidRPr="00000000">
        <w:rPr>
          <w:rtl w:val="0"/>
        </w:rPr>
        <w:t xml:space="preserve">Unlimited liability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Answer 6</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Delta corp can generate short term funds through the means of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numPr>
          <w:ilvl w:val="0"/>
          <w:numId w:val="2"/>
        </w:numPr>
        <w:ind w:left="720" w:hanging="360"/>
        <w:rPr>
          <w:u w:val="none"/>
        </w:rPr>
      </w:pPr>
      <w:r w:rsidDel="00000000" w:rsidR="00000000" w:rsidRPr="00000000">
        <w:rPr>
          <w:rtl w:val="0"/>
        </w:rPr>
        <w:t xml:space="preserve">Bank Overdraft: The borrower is granted a facility to draw money out of a current account such that it becomes negative, down to an agreed limit. The borrower pays interest only on the amount actually overdrawn. No explicit capital repayments are made. </w:t>
      </w:r>
    </w:p>
    <w:p w:rsidR="00000000" w:rsidDel="00000000" w:rsidP="00000000" w:rsidRDefault="00000000" w:rsidRPr="00000000" w14:paraId="00000033">
      <w:pPr>
        <w:numPr>
          <w:ilvl w:val="0"/>
          <w:numId w:val="2"/>
        </w:numPr>
        <w:ind w:left="720" w:hanging="360"/>
        <w:rPr>
          <w:u w:val="none"/>
        </w:rPr>
      </w:pPr>
      <w:r w:rsidDel="00000000" w:rsidR="00000000" w:rsidRPr="00000000">
        <w:rPr>
          <w:rtl w:val="0"/>
        </w:rPr>
        <w:t xml:space="preserve">Trade Credit: Agreement between a company and suppliers to pay for goods or services after they have been supplied. </w:t>
      </w:r>
    </w:p>
    <w:p w:rsidR="00000000" w:rsidDel="00000000" w:rsidP="00000000" w:rsidRDefault="00000000" w:rsidRPr="00000000" w14:paraId="00000034">
      <w:pPr>
        <w:numPr>
          <w:ilvl w:val="0"/>
          <w:numId w:val="2"/>
        </w:numPr>
        <w:ind w:left="720" w:hanging="360"/>
        <w:rPr>
          <w:u w:val="none"/>
        </w:rPr>
      </w:pPr>
      <w:r w:rsidDel="00000000" w:rsidR="00000000" w:rsidRPr="00000000">
        <w:rPr>
          <w:rtl w:val="0"/>
        </w:rPr>
        <w:t xml:space="preserve">Factoring: Non-recourse or recourse</w:t>
      </w:r>
    </w:p>
    <w:p w:rsidR="00000000" w:rsidDel="00000000" w:rsidP="00000000" w:rsidRDefault="00000000" w:rsidRPr="00000000" w14:paraId="00000035">
      <w:pPr>
        <w:numPr>
          <w:ilvl w:val="0"/>
          <w:numId w:val="2"/>
        </w:numPr>
        <w:ind w:left="720" w:hanging="360"/>
        <w:rPr>
          <w:u w:val="none"/>
        </w:rPr>
      </w:pPr>
      <w:r w:rsidDel="00000000" w:rsidR="00000000" w:rsidRPr="00000000">
        <w:rPr>
          <w:rtl w:val="0"/>
        </w:rPr>
        <w:t xml:space="preserve">Bills of Exchange: A claim to the amount owed by a purchaser of goods on credit may be accepted by a bank. </w:t>
      </w:r>
    </w:p>
    <w:p w:rsidR="00000000" w:rsidDel="00000000" w:rsidP="00000000" w:rsidRDefault="00000000" w:rsidRPr="00000000" w14:paraId="00000036">
      <w:pPr>
        <w:numPr>
          <w:ilvl w:val="0"/>
          <w:numId w:val="2"/>
        </w:numPr>
        <w:ind w:left="720" w:hanging="360"/>
        <w:rPr>
          <w:u w:val="none"/>
        </w:rPr>
      </w:pPr>
      <w:r w:rsidDel="00000000" w:rsidR="00000000" w:rsidRPr="00000000">
        <w:rPr>
          <w:rtl w:val="0"/>
        </w:rPr>
        <w:t xml:space="preserve">Commercial Paper: Delta corp being a listed company can best use commercial paper to finance in the short run, usually issued at discount and redeemed at par. </w:t>
      </w:r>
    </w:p>
    <w:p w:rsidR="00000000" w:rsidDel="00000000" w:rsidP="00000000" w:rsidRDefault="00000000" w:rsidRPr="00000000" w14:paraId="00000037">
      <w:pPr>
        <w:numPr>
          <w:ilvl w:val="0"/>
          <w:numId w:val="2"/>
        </w:numPr>
        <w:ind w:left="720" w:hanging="360"/>
        <w:rPr>
          <w:u w:val="none"/>
        </w:rPr>
      </w:pPr>
      <w:r w:rsidDel="00000000" w:rsidR="00000000" w:rsidRPr="00000000">
        <w:rPr>
          <w:rtl w:val="0"/>
        </w:rPr>
        <w:t xml:space="preserve">Shadow Banking: Delta corp can approach shadow banks that convert their short term liabilities into long term assets.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Answer 7</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Operating lease: The owner of the asset will retain most of the risks associated with owning the asset. The lease will be for a period substantially shorter than the likely life of the asset.</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Financial lease: The lessee takes on most of the risks associated with owning the asset. The lease will be for a period similar to the likely life of the asset. The present value of the payments under the agreement is shown in the lessee’s balance sheet twice: as an asset and as a corresponding liability.</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Answer 8</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numPr>
          <w:ilvl w:val="0"/>
          <w:numId w:val="1"/>
        </w:numPr>
        <w:ind w:left="720" w:hanging="360"/>
        <w:rPr>
          <w:u w:val="none"/>
        </w:rPr>
      </w:pPr>
      <w:r w:rsidDel="00000000" w:rsidR="00000000" w:rsidRPr="00000000">
        <w:rPr>
          <w:rtl w:val="0"/>
        </w:rPr>
        <w:t xml:space="preserve">Convertible: The lessee takes on most of the risks associated with owning the asset. The lease will be for a period similar to the likely life of the asset. The present value of the payments under the agreement is shown in the lessee’s balance sheet twice: as an asset and as a corresponding liability.</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numPr>
          <w:ilvl w:val="0"/>
          <w:numId w:val="1"/>
        </w:numPr>
        <w:ind w:left="720" w:hanging="360"/>
        <w:rPr>
          <w:u w:val="none"/>
        </w:rPr>
      </w:pPr>
      <w:r w:rsidDel="00000000" w:rsidR="00000000" w:rsidRPr="00000000">
        <w:rPr>
          <w:rtl w:val="0"/>
        </w:rPr>
        <w:t xml:space="preserve">Warrants: They are the options that the companies provide for the conversion of a bond into a stock of the company the bond holder has the chance of converting the bond into the stock after a specific point in time. </w:t>
      </w:r>
    </w:p>
    <w:p w:rsidR="00000000" w:rsidDel="00000000" w:rsidP="00000000" w:rsidRDefault="00000000" w:rsidRPr="00000000" w14:paraId="00000045">
      <w:pPr>
        <w:ind w:left="720" w:firstLine="0"/>
        <w:rPr/>
      </w:pPr>
      <w:r w:rsidDel="00000000" w:rsidR="00000000" w:rsidRPr="00000000">
        <w:rPr>
          <w:rtl w:val="0"/>
        </w:rPr>
      </w:r>
    </w:p>
    <w:p w:rsidR="00000000" w:rsidDel="00000000" w:rsidP="00000000" w:rsidRDefault="00000000" w:rsidRPr="00000000" w14:paraId="00000046">
      <w:pPr>
        <w:numPr>
          <w:ilvl w:val="0"/>
          <w:numId w:val="1"/>
        </w:numPr>
        <w:ind w:left="720" w:hanging="360"/>
        <w:rPr>
          <w:u w:val="none"/>
        </w:rPr>
      </w:pPr>
      <w:r w:rsidDel="00000000" w:rsidR="00000000" w:rsidRPr="00000000">
        <w:rPr>
          <w:rtl w:val="0"/>
        </w:rPr>
        <w:t xml:space="preserve">Convertibles trade at a higher price than equity stocks because the equity stock are riskier and they may or might not give return as there is no obligation to pay therefore they are at a lesser price whereas in convertibles there is some fixed return that the investor is gaining by providing his money so therefore they are offered at a higher price. </w:t>
      </w:r>
    </w:p>
    <w:p w:rsidR="00000000" w:rsidDel="00000000" w:rsidP="00000000" w:rsidRDefault="00000000" w:rsidRPr="00000000" w14:paraId="00000047">
      <w:pPr>
        <w:ind w:left="720" w:firstLine="0"/>
        <w:rPr/>
      </w:pPr>
      <w:r w:rsidDel="00000000" w:rsidR="00000000" w:rsidRPr="00000000">
        <w:rPr>
          <w:rtl w:val="0"/>
        </w:rPr>
      </w:r>
    </w:p>
    <w:p w:rsidR="00000000" w:rsidDel="00000000" w:rsidP="00000000" w:rsidRDefault="00000000" w:rsidRPr="00000000" w14:paraId="00000048">
      <w:pPr>
        <w:numPr>
          <w:ilvl w:val="0"/>
          <w:numId w:val="1"/>
        </w:numPr>
        <w:ind w:left="720" w:hanging="360"/>
        <w:rPr>
          <w:u w:val="none"/>
        </w:rPr>
      </w:pPr>
      <w:r w:rsidDel="00000000" w:rsidR="00000000" w:rsidRPr="00000000">
        <w:rPr>
          <w:rtl w:val="0"/>
        </w:rPr>
        <w:t xml:space="preserve">Running yield of a convertible must be higher than that of an equity because it is offered at a more price than equity and also the investor is looking for some specific amount of returns when he is giving his money.</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