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A9C0" w14:textId="0A554E56" w:rsidR="00FD2302" w:rsidRDefault="00FD2302" w:rsidP="00FD2302">
      <w:pPr>
        <w:spacing w:before="240" w:after="240" w:line="240" w:lineRule="auto"/>
        <w:ind w:hanging="360"/>
        <w:rPr>
          <w:rFonts w:ascii="Arial" w:eastAsia="Times New Roman" w:hAnsi="Arial" w:cs="Arial"/>
          <w:color w:val="000000"/>
          <w:lang w:eastAsia="en-IN"/>
        </w:rPr>
      </w:pPr>
      <w:r>
        <w:rPr>
          <w:rFonts w:ascii="Arial" w:eastAsia="Times New Roman" w:hAnsi="Arial" w:cs="Arial"/>
          <w:color w:val="000000"/>
          <w:lang w:eastAsia="en-IN"/>
        </w:rPr>
        <w:t xml:space="preserve">                                                       </w:t>
      </w:r>
      <w:proofErr w:type="spellStart"/>
      <w:r>
        <w:rPr>
          <w:rFonts w:ascii="Arial" w:eastAsia="Times New Roman" w:hAnsi="Arial" w:cs="Arial"/>
          <w:color w:val="000000"/>
          <w:lang w:eastAsia="en-IN"/>
        </w:rPr>
        <w:t>Drashti</w:t>
      </w:r>
      <w:proofErr w:type="spellEnd"/>
      <w:r>
        <w:rPr>
          <w:rFonts w:ascii="Arial" w:eastAsia="Times New Roman" w:hAnsi="Arial" w:cs="Arial"/>
          <w:color w:val="000000"/>
          <w:lang w:eastAsia="en-IN"/>
        </w:rPr>
        <w:t xml:space="preserve"> Shah- 430</w:t>
      </w:r>
    </w:p>
    <w:p w14:paraId="05AADDA9" w14:textId="77777777" w:rsidR="00FD2302" w:rsidRDefault="00FD2302" w:rsidP="00FD2302">
      <w:pPr>
        <w:spacing w:before="240" w:after="240" w:line="240" w:lineRule="auto"/>
        <w:rPr>
          <w:rFonts w:ascii="Arial" w:eastAsia="Times New Roman" w:hAnsi="Arial" w:cs="Arial"/>
          <w:color w:val="000000"/>
          <w:lang w:eastAsia="en-IN"/>
        </w:rPr>
      </w:pPr>
    </w:p>
    <w:p w14:paraId="39F456BD" w14:textId="0857F22F" w:rsidR="008E27DC" w:rsidRPr="00FD2302" w:rsidRDefault="008E27DC" w:rsidP="00FD2302">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w:t>
      </w:r>
      <w:r w:rsidRPr="00FD2302">
        <w:rPr>
          <w:rFonts w:ascii="Arial Nova Light" w:eastAsia="Times New Roman" w:hAnsi="Arial Nova Light" w:cs="Arial"/>
          <w:color w:val="000000"/>
          <w:sz w:val="14"/>
          <w:szCs w:val="14"/>
          <w:lang w:eastAsia="en-IN"/>
        </w:rPr>
        <w:t>     </w:t>
      </w:r>
      <w:r w:rsidRPr="00FD2302">
        <w:rPr>
          <w:rFonts w:ascii="Arial Nova Light" w:eastAsia="Times New Roman" w:hAnsi="Arial Nova Light" w:cs="Arial"/>
          <w:color w:val="000000"/>
          <w:lang w:eastAsia="en-IN"/>
        </w:rPr>
        <w:t>C</w:t>
      </w:r>
    </w:p>
    <w:p w14:paraId="24F53689" w14:textId="4553B8ED" w:rsidR="008E27DC" w:rsidRPr="00FD2302" w:rsidRDefault="008E27DC" w:rsidP="00FD2302">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w:t>
      </w:r>
      <w:r w:rsidRPr="00FD2302">
        <w:rPr>
          <w:rFonts w:ascii="Arial Nova Light" w:eastAsia="Times New Roman" w:hAnsi="Arial Nova Light" w:cs="Arial"/>
          <w:color w:val="000000"/>
          <w:sz w:val="14"/>
          <w:szCs w:val="14"/>
          <w:lang w:eastAsia="en-IN"/>
        </w:rPr>
        <w:t>     </w:t>
      </w:r>
      <w:r w:rsidRPr="00FD2302">
        <w:rPr>
          <w:rFonts w:ascii="Arial Nova Light" w:eastAsia="Times New Roman" w:hAnsi="Arial Nova Light" w:cs="Arial"/>
          <w:color w:val="000000"/>
          <w:lang w:eastAsia="en-IN"/>
        </w:rPr>
        <w:t>C</w:t>
      </w:r>
    </w:p>
    <w:p w14:paraId="6E39E588"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3.</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3E278259"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4.</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0CC07890"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5.</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4EDDD2D3"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6.</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2EEDD06E"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7.</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7461D563"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8.</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68443777"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9.</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D</w:t>
      </w:r>
    </w:p>
    <w:p w14:paraId="1C10BDDA"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10.</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D</w:t>
      </w:r>
    </w:p>
    <w:p w14:paraId="22849225" w14:textId="37EA47D8" w:rsidR="008E27DC" w:rsidRPr="00FD2302" w:rsidRDefault="008E27DC" w:rsidP="00FD2302">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11.</w:t>
      </w:r>
      <w:r w:rsidRPr="00FD2302">
        <w:rPr>
          <w:rFonts w:ascii="Arial Nova Light" w:eastAsia="Times New Roman" w:hAnsi="Arial Nova Light" w:cs="Arial"/>
          <w:color w:val="000000"/>
          <w:sz w:val="14"/>
          <w:szCs w:val="14"/>
          <w:lang w:eastAsia="en-IN"/>
        </w:rPr>
        <w:t>  </w:t>
      </w:r>
      <w:r w:rsidRPr="00FD2302">
        <w:rPr>
          <w:rFonts w:ascii="Arial Nova Light" w:eastAsia="Times New Roman" w:hAnsi="Arial Nova Light" w:cs="Arial"/>
          <w:color w:val="000000"/>
          <w:lang w:eastAsia="en-IN"/>
        </w:rPr>
        <w:t>C</w:t>
      </w:r>
    </w:p>
    <w:p w14:paraId="0F7A7ED0" w14:textId="31D30AF4" w:rsidR="008E27DC" w:rsidRPr="00FD2302" w:rsidRDefault="008E27DC" w:rsidP="00FD2302">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12.</w:t>
      </w:r>
      <w:r w:rsidRPr="00FD2302">
        <w:rPr>
          <w:rFonts w:ascii="Arial Nova Light" w:eastAsia="Times New Roman" w:hAnsi="Arial Nova Light" w:cs="Arial"/>
          <w:color w:val="000000"/>
          <w:sz w:val="14"/>
          <w:szCs w:val="14"/>
          <w:lang w:eastAsia="en-IN"/>
        </w:rPr>
        <w:t>  </w:t>
      </w:r>
      <w:r w:rsidRPr="00FD2302">
        <w:rPr>
          <w:rFonts w:ascii="Arial Nova Light" w:eastAsia="Times New Roman" w:hAnsi="Arial Nova Light" w:cs="Arial"/>
          <w:color w:val="000000"/>
          <w:lang w:eastAsia="en-IN"/>
        </w:rPr>
        <w:t>C</w:t>
      </w:r>
    </w:p>
    <w:p w14:paraId="695F9EF8"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13.</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14626CC8"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14.</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1EF40296"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15.</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D</w:t>
      </w:r>
    </w:p>
    <w:p w14:paraId="1213E460"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16.</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202CECFA"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17.</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D</w:t>
      </w:r>
    </w:p>
    <w:p w14:paraId="768BEBD6"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18.</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B</w:t>
      </w:r>
    </w:p>
    <w:p w14:paraId="70E379B5"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19.</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B</w:t>
      </w:r>
    </w:p>
    <w:p w14:paraId="61C11674"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20.</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B</w:t>
      </w:r>
    </w:p>
    <w:p w14:paraId="47874A2A"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21.</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B</w:t>
      </w:r>
    </w:p>
    <w:p w14:paraId="2C3507EC"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22.</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097DBA56"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23.</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D</w:t>
      </w:r>
    </w:p>
    <w:p w14:paraId="3762214D"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24.</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C</w:t>
      </w:r>
    </w:p>
    <w:p w14:paraId="4AA45952"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25.</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D</w:t>
      </w:r>
    </w:p>
    <w:p w14:paraId="1E036A2B"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lastRenderedPageBreak/>
        <w:t>26.</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B</w:t>
      </w:r>
    </w:p>
    <w:p w14:paraId="040CC320"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27.</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B</w:t>
      </w:r>
    </w:p>
    <w:p w14:paraId="78A64B62"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28.</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D</w:t>
      </w:r>
    </w:p>
    <w:p w14:paraId="1EA6E79D"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29.</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NDY = 60300</w:t>
      </w:r>
    </w:p>
    <w:p w14:paraId="04103301"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GDY = 62000</w:t>
      </w:r>
    </w:p>
    <w:p w14:paraId="7C814CFB"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NNY = 60000</w:t>
      </w:r>
    </w:p>
    <w:p w14:paraId="07732C0D"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30.</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 </w:t>
      </w:r>
    </w:p>
    <w:p w14:paraId="686DB3BB" w14:textId="4C07F524"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noProof/>
          <w:color w:val="000000"/>
          <w:bdr w:val="none" w:sz="0" w:space="0" w:color="auto" w:frame="1"/>
          <w:lang w:eastAsia="en-IN"/>
        </w:rPr>
        <w:drawing>
          <wp:inline distT="0" distB="0" distL="0" distR="0" wp14:anchorId="0FB23CE3" wp14:editId="2FFE5B79">
            <wp:extent cx="5731510" cy="39052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905250"/>
                    </a:xfrm>
                    <a:prstGeom prst="rect">
                      <a:avLst/>
                    </a:prstGeom>
                    <a:noFill/>
                    <a:ln>
                      <a:noFill/>
                    </a:ln>
                  </pic:spPr>
                </pic:pic>
              </a:graphicData>
            </a:graphic>
          </wp:inline>
        </w:drawing>
      </w:r>
      <w:r w:rsidRPr="00FD2302">
        <w:rPr>
          <w:rFonts w:ascii="Arial Nova Light" w:eastAsia="Times New Roman" w:hAnsi="Arial Nova Light" w:cs="Arial"/>
          <w:color w:val="000000"/>
          <w:lang w:eastAsia="en-IN"/>
        </w:rPr>
        <w:t>1. MSC- Marginal Social cost</w:t>
      </w:r>
    </w:p>
    <w:p w14:paraId="5394F1F0"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2. MPC- Marginal Private Cost</w:t>
      </w:r>
    </w:p>
    <w:p w14:paraId="14125856"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3. MPB- Marginal Private Benefit</w:t>
      </w:r>
    </w:p>
    <w:p w14:paraId="1ED38E0C"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4. MSB- Marginal Social Benefit</w:t>
      </w:r>
    </w:p>
    <w:p w14:paraId="34FD1BAE"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 xml:space="preserve">5. </w:t>
      </w:r>
      <w:proofErr w:type="spellStart"/>
      <w:r w:rsidRPr="00FD2302">
        <w:rPr>
          <w:rFonts w:ascii="Arial Nova Light" w:eastAsia="Times New Roman" w:hAnsi="Arial Nova Light" w:cs="Arial"/>
          <w:color w:val="000000"/>
          <w:lang w:eastAsia="en-IN"/>
        </w:rPr>
        <w:t>MECc</w:t>
      </w:r>
      <w:proofErr w:type="spellEnd"/>
      <w:r w:rsidRPr="00FD2302">
        <w:rPr>
          <w:rFonts w:ascii="Arial Nova Light" w:eastAsia="Times New Roman" w:hAnsi="Arial Nova Light" w:cs="Arial"/>
          <w:color w:val="000000"/>
          <w:lang w:eastAsia="en-IN"/>
        </w:rPr>
        <w:t>- Marginal External Cost of consumption</w:t>
      </w:r>
    </w:p>
    <w:p w14:paraId="6D1BBA53"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6. Q*- Socially optimum level of output at price P*</w:t>
      </w:r>
    </w:p>
    <w:p w14:paraId="5BC7F35E"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 xml:space="preserve">7. </w:t>
      </w:r>
      <w:proofErr w:type="spellStart"/>
      <w:r w:rsidRPr="00FD2302">
        <w:rPr>
          <w:rFonts w:ascii="Arial Nova Light" w:eastAsia="Times New Roman" w:hAnsi="Arial Nova Light" w:cs="Arial"/>
          <w:color w:val="000000"/>
          <w:lang w:eastAsia="en-IN"/>
        </w:rPr>
        <w:t>QPc</w:t>
      </w:r>
      <w:proofErr w:type="spellEnd"/>
      <w:r w:rsidRPr="00FD2302">
        <w:rPr>
          <w:rFonts w:ascii="Arial Nova Light" w:eastAsia="Times New Roman" w:hAnsi="Arial Nova Light" w:cs="Arial"/>
          <w:color w:val="000000"/>
          <w:lang w:eastAsia="en-IN"/>
        </w:rPr>
        <w:t xml:space="preserve">- Market level of output at price </w:t>
      </w:r>
      <w:proofErr w:type="spellStart"/>
      <w:r w:rsidRPr="00FD2302">
        <w:rPr>
          <w:rFonts w:ascii="Arial Nova Light" w:eastAsia="Times New Roman" w:hAnsi="Arial Nova Light" w:cs="Arial"/>
          <w:color w:val="000000"/>
          <w:lang w:eastAsia="en-IN"/>
        </w:rPr>
        <w:t>Ppc</w:t>
      </w:r>
      <w:proofErr w:type="spellEnd"/>
      <w:r w:rsidRPr="00FD2302">
        <w:rPr>
          <w:rFonts w:ascii="Arial Nova Light" w:eastAsia="Times New Roman" w:hAnsi="Arial Nova Light" w:cs="Arial"/>
          <w:color w:val="000000"/>
          <w:lang w:eastAsia="en-IN"/>
        </w:rPr>
        <w:t>.</w:t>
      </w:r>
    </w:p>
    <w:p w14:paraId="20D048AC"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8. Deadweight loss of social welfare happens when MSC&gt; MPC</w:t>
      </w:r>
    </w:p>
    <w:p w14:paraId="7180BB0F"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lastRenderedPageBreak/>
        <w:t xml:space="preserve">9. Social welfare loss occurs as </w:t>
      </w:r>
      <w:proofErr w:type="spellStart"/>
      <w:r w:rsidRPr="00FD2302">
        <w:rPr>
          <w:rFonts w:ascii="Arial Nova Light" w:eastAsia="Times New Roman" w:hAnsi="Arial Nova Light" w:cs="Arial"/>
          <w:color w:val="000000"/>
          <w:lang w:eastAsia="en-IN"/>
        </w:rPr>
        <w:t>QPc</w:t>
      </w:r>
      <w:proofErr w:type="spellEnd"/>
      <w:r w:rsidRPr="00FD2302">
        <w:rPr>
          <w:rFonts w:ascii="Arial Nova Light" w:eastAsia="Times New Roman" w:hAnsi="Arial Nova Light" w:cs="Arial"/>
          <w:color w:val="000000"/>
          <w:lang w:eastAsia="en-IN"/>
        </w:rPr>
        <w:t xml:space="preserve"> &gt; Q*</w:t>
      </w:r>
    </w:p>
    <w:p w14:paraId="729520B6"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 xml:space="preserve">As plastic is causing environmental pollution, it has social cost. Individuals are using plastic as it is convenient for them. Therefore, Marginal Social Cost (MSC) differs from Marginal Personal Cost (MPC). 2. Plastic usage cause environmental pollution and animals may die due to consumption of plastic bags. Therefore, there is Marginal external Cost which may be incurred to keep water bodies clean and to protect animals from consumption of plastic. 3. Therefore, MSB is lower than MPB. MSB= MPB - </w:t>
      </w:r>
      <w:proofErr w:type="spellStart"/>
      <w:r w:rsidRPr="00FD2302">
        <w:rPr>
          <w:rFonts w:ascii="Arial Nova Light" w:eastAsia="Times New Roman" w:hAnsi="Arial Nova Light" w:cs="Arial"/>
          <w:color w:val="000000"/>
          <w:lang w:eastAsia="en-IN"/>
        </w:rPr>
        <w:t>MECc</w:t>
      </w:r>
      <w:proofErr w:type="spellEnd"/>
      <w:r w:rsidRPr="00FD2302">
        <w:rPr>
          <w:rFonts w:ascii="Arial Nova Light" w:eastAsia="Times New Roman" w:hAnsi="Arial Nova Light" w:cs="Arial"/>
          <w:color w:val="000000"/>
          <w:lang w:eastAsia="en-IN"/>
        </w:rPr>
        <w:t xml:space="preserve">. This is represented by MSB curve below MPB curve in the diagram. Market will have equilibrium position at </w:t>
      </w:r>
      <w:proofErr w:type="spellStart"/>
      <w:r w:rsidRPr="00FD2302">
        <w:rPr>
          <w:rFonts w:ascii="Arial Nova Light" w:eastAsia="Times New Roman" w:hAnsi="Arial Nova Light" w:cs="Arial"/>
          <w:color w:val="000000"/>
          <w:lang w:eastAsia="en-IN"/>
        </w:rPr>
        <w:t>QPc</w:t>
      </w:r>
      <w:proofErr w:type="spellEnd"/>
      <w:r w:rsidRPr="00FD2302">
        <w:rPr>
          <w:rFonts w:ascii="Arial Nova Light" w:eastAsia="Times New Roman" w:hAnsi="Arial Nova Light" w:cs="Arial"/>
          <w:color w:val="000000"/>
          <w:lang w:eastAsia="en-IN"/>
        </w:rPr>
        <w:t xml:space="preserve"> with Price </w:t>
      </w:r>
      <w:proofErr w:type="spellStart"/>
      <w:r w:rsidRPr="00FD2302">
        <w:rPr>
          <w:rFonts w:ascii="Arial Nova Light" w:eastAsia="Times New Roman" w:hAnsi="Arial Nova Light" w:cs="Arial"/>
          <w:color w:val="000000"/>
          <w:lang w:eastAsia="en-IN"/>
        </w:rPr>
        <w:t>Ppc</w:t>
      </w:r>
      <w:proofErr w:type="spellEnd"/>
      <w:r w:rsidRPr="00FD2302">
        <w:rPr>
          <w:rFonts w:ascii="Arial Nova Light" w:eastAsia="Times New Roman" w:hAnsi="Arial Nova Light" w:cs="Arial"/>
          <w:color w:val="000000"/>
          <w:lang w:eastAsia="en-IN"/>
        </w:rPr>
        <w:t>. At socially optimal equilibrium at output Q* of price P</w:t>
      </w:r>
      <w:proofErr w:type="gramStart"/>
      <w:r w:rsidRPr="00FD2302">
        <w:rPr>
          <w:rFonts w:ascii="Arial Nova Light" w:eastAsia="Times New Roman" w:hAnsi="Arial Nova Light" w:cs="Arial"/>
          <w:color w:val="000000"/>
          <w:lang w:eastAsia="en-IN"/>
        </w:rPr>
        <w:t>* ,</w:t>
      </w:r>
      <w:proofErr w:type="gramEnd"/>
      <w:r w:rsidRPr="00FD2302">
        <w:rPr>
          <w:rFonts w:ascii="Arial Nova Light" w:eastAsia="Times New Roman" w:hAnsi="Arial Nova Light" w:cs="Arial"/>
          <w:color w:val="000000"/>
          <w:lang w:eastAsia="en-IN"/>
        </w:rPr>
        <w:t xml:space="preserve"> MSB = MSC. 4. The external cost of consumption result in level of output above socially optimum level, </w:t>
      </w:r>
      <w:proofErr w:type="spellStart"/>
      <w:r w:rsidRPr="00FD2302">
        <w:rPr>
          <w:rFonts w:ascii="Arial Nova Light" w:eastAsia="Times New Roman" w:hAnsi="Arial Nova Light" w:cs="Arial"/>
          <w:color w:val="000000"/>
          <w:lang w:eastAsia="en-IN"/>
        </w:rPr>
        <w:t>QPc</w:t>
      </w:r>
      <w:proofErr w:type="spellEnd"/>
      <w:r w:rsidRPr="00FD2302">
        <w:rPr>
          <w:rFonts w:ascii="Arial Nova Light" w:eastAsia="Times New Roman" w:hAnsi="Arial Nova Light" w:cs="Arial"/>
          <w:color w:val="000000"/>
          <w:lang w:eastAsia="en-IN"/>
        </w:rPr>
        <w:t xml:space="preserve"> &gt; Q* From society’s point of view, too many plastic bags are being produced and consumed. This results in a dead weight welfare loss caused by overconsumption and represented by a triangle in diagram A.</w:t>
      </w:r>
    </w:p>
    <w:p w14:paraId="5E14E678"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31.</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A</w:t>
      </w:r>
    </w:p>
    <w:p w14:paraId="62DA6946" w14:textId="77777777" w:rsidR="008E27DC" w:rsidRPr="00FD2302" w:rsidRDefault="008E27DC" w:rsidP="008E27DC">
      <w:pPr>
        <w:spacing w:before="240" w:after="24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32.</w:t>
      </w:r>
      <w:r w:rsidRPr="00FD2302">
        <w:rPr>
          <w:rFonts w:ascii="Arial Nova Light" w:eastAsia="Times New Roman" w:hAnsi="Arial Nova Light" w:cs="Arial"/>
          <w:color w:val="000000"/>
          <w:sz w:val="14"/>
          <w:szCs w:val="14"/>
          <w:lang w:eastAsia="en-IN"/>
        </w:rPr>
        <w:t xml:space="preserve">   </w:t>
      </w:r>
      <w:r w:rsidRPr="00FD2302">
        <w:rPr>
          <w:rFonts w:ascii="Arial Nova Light" w:eastAsia="Times New Roman" w:hAnsi="Arial Nova Light" w:cs="Arial"/>
          <w:color w:val="000000"/>
          <w:lang w:eastAsia="en-IN"/>
        </w:rPr>
        <w:t xml:space="preserve">Negative Externality Definition - Negative externalities occur when production and/or consumption impose external costs on third parties outside of the market for which no appropriate compensation is paid. This causes social costs to exceed private costs. An example of a negative externality: </w:t>
      </w:r>
      <w:proofErr w:type="spellStart"/>
      <w:r w:rsidRPr="00FD2302">
        <w:rPr>
          <w:rFonts w:ascii="Arial Nova Light" w:eastAsia="Times New Roman" w:hAnsi="Arial Nova Light" w:cs="Arial"/>
          <w:color w:val="000000"/>
          <w:lang w:eastAsia="en-IN"/>
        </w:rPr>
        <w:t>i</w:t>
      </w:r>
      <w:proofErr w:type="spellEnd"/>
      <w:r w:rsidRPr="00FD2302">
        <w:rPr>
          <w:rFonts w:ascii="Arial Nova Light" w:eastAsia="Times New Roman" w:hAnsi="Arial Nova Light" w:cs="Arial"/>
          <w:color w:val="000000"/>
          <w:lang w:eastAsia="en-IN"/>
        </w:rPr>
        <w:t xml:space="preserve">. People may smoke in public places and ignore harmful impact of toxic passive smoking on non-smokers. ii. The passive smoking may harm health of non-smoker and may cause various respiratory diseases. iii. In young </w:t>
      </w:r>
      <w:proofErr w:type="gramStart"/>
      <w:r w:rsidRPr="00FD2302">
        <w:rPr>
          <w:rFonts w:ascii="Arial Nova Light" w:eastAsia="Times New Roman" w:hAnsi="Arial Nova Light" w:cs="Arial"/>
          <w:color w:val="000000"/>
          <w:lang w:eastAsia="en-IN"/>
        </w:rPr>
        <w:t>ladies</w:t>
      </w:r>
      <w:proofErr w:type="gramEnd"/>
      <w:r w:rsidRPr="00FD2302">
        <w:rPr>
          <w:rFonts w:ascii="Arial Nova Light" w:eastAsia="Times New Roman" w:hAnsi="Arial Nova Light" w:cs="Arial"/>
          <w:color w:val="000000"/>
          <w:lang w:eastAsia="en-IN"/>
        </w:rPr>
        <w:t xml:space="preserve"> passive smoking may cause pre-mature child birth and asthma. iv. Passive smoking increases the risk of respiratory illnesses in children, including asthma, bronchitis and pneumonia. v. Healthcare expenditure involved in treatment of smoking related illnesses</w:t>
      </w:r>
    </w:p>
    <w:p w14:paraId="7005A0E8"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ii) Price Related Intervention: a) The Government imposes a tax on the producer that reflects the marginal cost of the externality. b) Fines are imposed if smoking is done in public places Non- Price Related Intervention: a) Smoking is banned in public places like gardens, restaurants, libraries, work places, etc. b) A law prohibiting any manufacturer, retailer, or distributor of tobacco from selling or distributing products to persons under age eighteen. c) Use of media / advertisements, public education to emphasize ill effects of smoking and motivate smokers to leave smoking d) Specially designed medical care and or programs for smokers to quit smoking. iii) Diagram- marginal social benefit curve and marginal private benefit curve when a negative externality in consumption exists</w:t>
      </w:r>
    </w:p>
    <w:p w14:paraId="22FAD580" w14:textId="25B46B68"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noProof/>
          <w:color w:val="000000"/>
          <w:bdr w:val="none" w:sz="0" w:space="0" w:color="auto" w:frame="1"/>
          <w:lang w:eastAsia="en-IN"/>
        </w:rPr>
        <w:lastRenderedPageBreak/>
        <w:drawing>
          <wp:inline distT="0" distB="0" distL="0" distR="0" wp14:anchorId="43D6879D" wp14:editId="1A68132D">
            <wp:extent cx="5731510" cy="31705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170555"/>
                    </a:xfrm>
                    <a:prstGeom prst="rect">
                      <a:avLst/>
                    </a:prstGeom>
                    <a:noFill/>
                    <a:ln>
                      <a:noFill/>
                    </a:ln>
                  </pic:spPr>
                </pic:pic>
              </a:graphicData>
            </a:graphic>
          </wp:inline>
        </w:drawing>
      </w:r>
    </w:p>
    <w:p w14:paraId="0BDD54AA"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Q1- Consumption by private sector</w:t>
      </w:r>
    </w:p>
    <w:p w14:paraId="4505A3F9"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Q2- Socially optimal level of consumption</w:t>
      </w:r>
    </w:p>
    <w:p w14:paraId="0470535D"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MSB- Marginal Social Benefit</w:t>
      </w:r>
    </w:p>
    <w:p w14:paraId="643ACA55"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MB- Marginal Private Benefit</w:t>
      </w:r>
    </w:p>
    <w:p w14:paraId="3E711DE2"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P1- Market price</w:t>
      </w:r>
    </w:p>
    <w:p w14:paraId="14943C5F" w14:textId="77777777" w:rsidR="008E27DC" w:rsidRPr="00FD2302" w:rsidRDefault="008E27DC" w:rsidP="008E27DC">
      <w:pPr>
        <w:shd w:val="clear" w:color="auto" w:fill="FFFFFF"/>
        <w:spacing w:after="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Times New Roman"/>
          <w:color w:val="202124"/>
          <w:sz w:val="20"/>
          <w:szCs w:val="20"/>
          <w:lang w:eastAsia="en-IN"/>
        </w:rPr>
        <w:t>33.</w:t>
      </w:r>
      <w:r w:rsidRPr="00FD2302">
        <w:rPr>
          <w:rFonts w:ascii="Arial Nova Light" w:eastAsia="Times New Roman" w:hAnsi="Arial Nova Light" w:cs="Times New Roman"/>
          <w:color w:val="202124"/>
          <w:sz w:val="14"/>
          <w:szCs w:val="14"/>
          <w:lang w:eastAsia="en-IN"/>
        </w:rPr>
        <w:t xml:space="preserve">   </w:t>
      </w:r>
      <w:r w:rsidRPr="00FD2302">
        <w:rPr>
          <w:rFonts w:ascii="Arial Nova Light" w:eastAsia="Times New Roman" w:hAnsi="Arial Nova Light" w:cs="Times New Roman"/>
          <w:color w:val="202124"/>
          <w:sz w:val="20"/>
          <w:szCs w:val="20"/>
          <w:lang w:eastAsia="en-IN"/>
        </w:rPr>
        <w:t xml:space="preserve">Actual economic growth can also be known as demand side economic growth because it is affected by changes in the demand in an economy. It is an increase in output as measured by real GDP/ national income. It can be achieved by shifting AD (Aggregate demand) to the right by increasing AD, by influencing any of the factors of aggregate demand. (As shown below) •Consumption •Government Spending •Net Exports * Investment (However this is also a component of LRAS) On the other hand potential deals with the supply side of the economy. It is an increase in the productive capacity (potential). An increase in the short term/long term aggregate supply will cause potential economic growth. The </w:t>
      </w:r>
      <w:proofErr w:type="gramStart"/>
      <w:r w:rsidRPr="00FD2302">
        <w:rPr>
          <w:rFonts w:ascii="Arial Nova Light" w:eastAsia="Times New Roman" w:hAnsi="Arial Nova Light" w:cs="Times New Roman"/>
          <w:color w:val="202124"/>
          <w:sz w:val="20"/>
          <w:szCs w:val="20"/>
          <w:lang w:eastAsia="en-IN"/>
        </w:rPr>
        <w:t>short term</w:t>
      </w:r>
      <w:proofErr w:type="gramEnd"/>
      <w:r w:rsidRPr="00FD2302">
        <w:rPr>
          <w:rFonts w:ascii="Arial Nova Light" w:eastAsia="Times New Roman" w:hAnsi="Arial Nova Light" w:cs="Times New Roman"/>
          <w:color w:val="202124"/>
          <w:sz w:val="20"/>
          <w:szCs w:val="20"/>
          <w:lang w:eastAsia="en-IN"/>
        </w:rPr>
        <w:t xml:space="preserve"> deals with costs of production and the long term is affected by changes in the quality and quantity of the factors of production.</w:t>
      </w:r>
    </w:p>
    <w:p w14:paraId="15DCD71D" w14:textId="77777777" w:rsidR="008E27DC" w:rsidRPr="00FD2302" w:rsidRDefault="008E27DC" w:rsidP="008E27DC">
      <w:pPr>
        <w:shd w:val="clear" w:color="auto" w:fill="FFFFFF"/>
        <w:spacing w:after="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Times New Roman"/>
          <w:color w:val="202124"/>
          <w:sz w:val="20"/>
          <w:szCs w:val="20"/>
          <w:lang w:eastAsia="en-IN"/>
        </w:rPr>
        <w:t>34.</w:t>
      </w:r>
      <w:r w:rsidRPr="00FD2302">
        <w:rPr>
          <w:rFonts w:ascii="Arial Nova Light" w:eastAsia="Times New Roman" w:hAnsi="Arial Nova Light" w:cs="Times New Roman"/>
          <w:color w:val="202124"/>
          <w:sz w:val="14"/>
          <w:szCs w:val="14"/>
          <w:lang w:eastAsia="en-IN"/>
        </w:rPr>
        <w:t xml:space="preserve">   </w:t>
      </w:r>
      <w:r w:rsidRPr="00FD2302">
        <w:rPr>
          <w:rFonts w:ascii="Arial Nova Light" w:eastAsia="Times New Roman" w:hAnsi="Arial Nova Light" w:cs="Times New Roman"/>
          <w:color w:val="202124"/>
          <w:sz w:val="20"/>
          <w:szCs w:val="20"/>
          <w:lang w:eastAsia="en-IN"/>
        </w:rPr>
        <w:t xml:space="preserve">Income </w:t>
      </w:r>
      <w:proofErr w:type="gramStart"/>
      <w:r w:rsidRPr="00FD2302">
        <w:rPr>
          <w:rFonts w:ascii="Arial Nova Light" w:eastAsia="Times New Roman" w:hAnsi="Arial Nova Light" w:cs="Times New Roman"/>
          <w:color w:val="202124"/>
          <w:sz w:val="20"/>
          <w:szCs w:val="20"/>
          <w:lang w:eastAsia="en-IN"/>
        </w:rPr>
        <w:t>measure :</w:t>
      </w:r>
      <w:proofErr w:type="gramEnd"/>
      <w:r w:rsidRPr="00FD2302">
        <w:rPr>
          <w:rFonts w:ascii="Arial Nova Light" w:eastAsia="Times New Roman" w:hAnsi="Arial Nova Light" w:cs="Times New Roman"/>
          <w:color w:val="202124"/>
          <w:sz w:val="20"/>
          <w:szCs w:val="20"/>
          <w:lang w:eastAsia="en-IN"/>
        </w:rPr>
        <w:t xml:space="preserve"> This measures the total of factor earnings. These are factor payments to land, labour and capital. Transfer payments are not included (to avoid double counting). </w:t>
      </w:r>
    </w:p>
    <w:p w14:paraId="54353BC4" w14:textId="77777777" w:rsidR="008E27DC" w:rsidRPr="00FD2302" w:rsidRDefault="008E27DC" w:rsidP="008E27DC">
      <w:pPr>
        <w:shd w:val="clear" w:color="auto" w:fill="FFFFFF"/>
        <w:spacing w:after="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Times New Roman"/>
          <w:color w:val="202124"/>
          <w:sz w:val="20"/>
          <w:szCs w:val="20"/>
          <w:lang w:eastAsia="en-IN"/>
        </w:rPr>
        <w:t xml:space="preserve">Output measure: This </w:t>
      </w:r>
      <w:proofErr w:type="gramStart"/>
      <w:r w:rsidRPr="00FD2302">
        <w:rPr>
          <w:rFonts w:ascii="Arial Nova Light" w:eastAsia="Times New Roman" w:hAnsi="Arial Nova Light" w:cs="Times New Roman"/>
          <w:color w:val="202124"/>
          <w:sz w:val="20"/>
          <w:szCs w:val="20"/>
          <w:lang w:eastAsia="en-IN"/>
        </w:rPr>
        <w:t>measure</w:t>
      </w:r>
      <w:proofErr w:type="gramEnd"/>
      <w:r w:rsidRPr="00FD2302">
        <w:rPr>
          <w:rFonts w:ascii="Arial Nova Light" w:eastAsia="Times New Roman" w:hAnsi="Arial Nova Light" w:cs="Times New Roman"/>
          <w:color w:val="202124"/>
          <w:sz w:val="20"/>
          <w:szCs w:val="20"/>
          <w:lang w:eastAsia="en-IN"/>
        </w:rPr>
        <w:t xml:space="preserve"> the value of goods and services produced. To avoid double counting we only include the “value added” component of firms’ output. </w:t>
      </w:r>
    </w:p>
    <w:p w14:paraId="1942ABF1" w14:textId="77777777" w:rsidR="008E27DC" w:rsidRPr="00FD2302" w:rsidRDefault="008E27DC" w:rsidP="008E27DC">
      <w:pPr>
        <w:shd w:val="clear" w:color="auto" w:fill="FFFFFF"/>
        <w:spacing w:after="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Times New Roman"/>
          <w:color w:val="202124"/>
          <w:sz w:val="20"/>
          <w:szCs w:val="20"/>
          <w:lang w:eastAsia="en-IN"/>
        </w:rPr>
        <w:t>Expenditure method: This includes all expenditure (including exports minus imports) in the economy and also what would have to be spent to purchase increases in inventories (or stocks). To avoid double counting, we include only expenditure on final goods. </w:t>
      </w:r>
    </w:p>
    <w:p w14:paraId="2DCAF8F2" w14:textId="77777777" w:rsidR="008E27DC" w:rsidRPr="00FD2302" w:rsidRDefault="008E27DC" w:rsidP="008E27DC">
      <w:pPr>
        <w:shd w:val="clear" w:color="auto" w:fill="FFFFFF"/>
        <w:spacing w:after="0" w:line="240" w:lineRule="auto"/>
        <w:ind w:hanging="360"/>
        <w:rPr>
          <w:rFonts w:ascii="Arial Nova Light" w:eastAsia="Times New Roman" w:hAnsi="Arial Nova Light" w:cs="Times New Roman"/>
          <w:sz w:val="24"/>
          <w:szCs w:val="24"/>
          <w:lang w:eastAsia="en-IN"/>
        </w:rPr>
      </w:pPr>
      <w:r w:rsidRPr="00FD2302">
        <w:rPr>
          <w:rFonts w:ascii="Arial Nova Light" w:eastAsia="Times New Roman" w:hAnsi="Arial Nova Light" w:cs="Times New Roman"/>
          <w:color w:val="202124"/>
          <w:sz w:val="20"/>
          <w:szCs w:val="20"/>
          <w:lang w:eastAsia="en-IN"/>
        </w:rPr>
        <w:t>The three concepts are identically equal. However, in practice difficulties of measurement and collection of data (</w:t>
      </w:r>
      <w:proofErr w:type="spellStart"/>
      <w:proofErr w:type="gramStart"/>
      <w:r w:rsidRPr="00FD2302">
        <w:rPr>
          <w:rFonts w:ascii="Arial Nova Light" w:eastAsia="Times New Roman" w:hAnsi="Arial Nova Light" w:cs="Times New Roman"/>
          <w:color w:val="202124"/>
          <w:sz w:val="20"/>
          <w:szCs w:val="20"/>
          <w:lang w:eastAsia="en-IN"/>
        </w:rPr>
        <w:t>eg</w:t>
      </w:r>
      <w:proofErr w:type="spellEnd"/>
      <w:proofErr w:type="gramEnd"/>
      <w:r w:rsidRPr="00FD2302">
        <w:rPr>
          <w:rFonts w:ascii="Arial Nova Light" w:eastAsia="Times New Roman" w:hAnsi="Arial Nova Light" w:cs="Times New Roman"/>
          <w:color w:val="202124"/>
          <w:sz w:val="20"/>
          <w:szCs w:val="20"/>
          <w:lang w:eastAsia="en-IN"/>
        </w:rPr>
        <w:t xml:space="preserve"> the black economy) mean that the three measures will not be equal.</w:t>
      </w:r>
    </w:p>
    <w:p w14:paraId="5EBD1ED3"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 </w:t>
      </w:r>
    </w:p>
    <w:p w14:paraId="1854665D" w14:textId="77777777" w:rsidR="008E27DC" w:rsidRPr="00FD2302" w:rsidRDefault="008E27DC" w:rsidP="008E27DC">
      <w:pPr>
        <w:spacing w:after="0" w:line="240" w:lineRule="auto"/>
        <w:rPr>
          <w:rFonts w:ascii="Arial Nova Light" w:eastAsia="Times New Roman" w:hAnsi="Arial Nova Light" w:cs="Times New Roman"/>
          <w:sz w:val="24"/>
          <w:szCs w:val="24"/>
          <w:lang w:eastAsia="en-IN"/>
        </w:rPr>
      </w:pPr>
    </w:p>
    <w:p w14:paraId="78E7ABDD"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t> </w:t>
      </w:r>
    </w:p>
    <w:p w14:paraId="6AB93252" w14:textId="77777777" w:rsidR="008E27DC" w:rsidRPr="00FD2302" w:rsidRDefault="008E27DC" w:rsidP="008E27DC">
      <w:pPr>
        <w:spacing w:before="240" w:after="240" w:line="240" w:lineRule="auto"/>
        <w:rPr>
          <w:rFonts w:ascii="Arial Nova Light" w:eastAsia="Times New Roman" w:hAnsi="Arial Nova Light" w:cs="Times New Roman"/>
          <w:sz w:val="24"/>
          <w:szCs w:val="24"/>
          <w:lang w:eastAsia="en-IN"/>
        </w:rPr>
      </w:pPr>
      <w:r w:rsidRPr="00FD2302">
        <w:rPr>
          <w:rFonts w:ascii="Arial Nova Light" w:eastAsia="Times New Roman" w:hAnsi="Arial Nova Light" w:cs="Arial"/>
          <w:color w:val="000000"/>
          <w:lang w:eastAsia="en-IN"/>
        </w:rPr>
        <w:lastRenderedPageBreak/>
        <w:t> </w:t>
      </w:r>
    </w:p>
    <w:p w14:paraId="48EC6F81" w14:textId="77777777" w:rsidR="005B1A24" w:rsidRPr="00FD2302" w:rsidRDefault="005B1A24">
      <w:pPr>
        <w:rPr>
          <w:rFonts w:ascii="Arial Nova Light" w:hAnsi="Arial Nova Light"/>
        </w:rPr>
      </w:pPr>
    </w:p>
    <w:sectPr w:rsidR="005B1A24" w:rsidRPr="00FD2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0sDAyMjUzNTZT0lEKTi0uzszPAykwrAUAyssXriwAAAA="/>
  </w:docVars>
  <w:rsids>
    <w:rsidRoot w:val="008E27DC"/>
    <w:rsid w:val="005B1A24"/>
    <w:rsid w:val="008E27DC"/>
    <w:rsid w:val="00FD23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CA42"/>
  <w15:chartTrackingRefBased/>
  <w15:docId w15:val="{83D7D0D0-E57B-4E31-BF93-B5FC7C67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7D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Naval Dhandha</cp:lastModifiedBy>
  <cp:revision>2</cp:revision>
  <dcterms:created xsi:type="dcterms:W3CDTF">2022-03-25T16:27:00Z</dcterms:created>
  <dcterms:modified xsi:type="dcterms:W3CDTF">2022-03-25T16:27:00Z</dcterms:modified>
</cp:coreProperties>
</file>