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C475A" w14:textId="57596CBC" w:rsidR="0055510F" w:rsidRDefault="00F543FD" w:rsidP="00F543FD">
      <w:pPr>
        <w:jc w:val="center"/>
        <w:rPr>
          <w:rFonts w:ascii="Algerian" w:hAnsi="Algerian"/>
          <w:b/>
          <w:bCs/>
          <w:sz w:val="70"/>
          <w:szCs w:val="70"/>
          <w:u w:val="single"/>
        </w:rPr>
      </w:pPr>
      <w:r w:rsidRPr="00F543FD">
        <w:rPr>
          <w:rFonts w:ascii="Algerian" w:hAnsi="Algerian"/>
          <w:b/>
          <w:bCs/>
          <w:sz w:val="72"/>
          <w:szCs w:val="72"/>
          <w:u w:val="single"/>
        </w:rPr>
        <w:t>Business</w:t>
      </w:r>
      <w:r w:rsidRPr="00F543FD">
        <w:rPr>
          <w:rFonts w:ascii="Algerian" w:hAnsi="Algerian"/>
          <w:b/>
          <w:bCs/>
          <w:sz w:val="70"/>
          <w:szCs w:val="70"/>
          <w:u w:val="single"/>
        </w:rPr>
        <w:t xml:space="preserve"> Finance</w:t>
      </w:r>
    </w:p>
    <w:p w14:paraId="1CAD40CA" w14:textId="513F208D" w:rsidR="00F543FD" w:rsidRDefault="00F543FD" w:rsidP="00F543FD">
      <w:pPr>
        <w:jc w:val="center"/>
        <w:rPr>
          <w:rFonts w:ascii="Centaur" w:hAnsi="Centaur"/>
          <w:sz w:val="68"/>
          <w:szCs w:val="68"/>
          <w:u w:val="single"/>
        </w:rPr>
      </w:pPr>
      <w:r w:rsidRPr="00F543FD">
        <w:rPr>
          <w:rFonts w:ascii="Centaur" w:hAnsi="Centaur"/>
          <w:sz w:val="68"/>
          <w:szCs w:val="68"/>
          <w:u w:val="single"/>
        </w:rPr>
        <w:t>Assignment-1</w:t>
      </w:r>
    </w:p>
    <w:p w14:paraId="1DBD861D" w14:textId="0ACEC6D4" w:rsidR="0098325A" w:rsidRDefault="0098325A" w:rsidP="0098325A">
      <w:pPr>
        <w:rPr>
          <w:rFonts w:ascii="Centaur" w:hAnsi="Centaur"/>
          <w:sz w:val="68"/>
          <w:szCs w:val="68"/>
          <w:u w:val="single"/>
        </w:rPr>
      </w:pPr>
    </w:p>
    <w:p w14:paraId="0A5FCE7E" w14:textId="77777777" w:rsidR="00893449" w:rsidRPr="00495A67" w:rsidRDefault="0098325A" w:rsidP="00893449">
      <w:pPr>
        <w:pStyle w:val="ListParagraph"/>
        <w:numPr>
          <w:ilvl w:val="0"/>
          <w:numId w:val="7"/>
        </w:numPr>
        <w:rPr>
          <w:rFonts w:ascii="Arial" w:hAnsi="Arial" w:cs="Arial"/>
          <w:sz w:val="24"/>
          <w:szCs w:val="24"/>
        </w:rPr>
      </w:pPr>
      <w:r w:rsidRPr="00495A67">
        <w:rPr>
          <w:rFonts w:ascii="Arial" w:hAnsi="Arial" w:cs="Arial"/>
          <w:sz w:val="24"/>
          <w:szCs w:val="24"/>
        </w:rPr>
        <w:t>Comparison between Traditional partnership and LL</w:t>
      </w:r>
      <w:r w:rsidR="00893449" w:rsidRPr="00495A67">
        <w:rPr>
          <w:rFonts w:ascii="Arial" w:hAnsi="Arial" w:cs="Arial"/>
          <w:sz w:val="24"/>
          <w:szCs w:val="24"/>
        </w:rPr>
        <w:t>P</w:t>
      </w:r>
    </w:p>
    <w:p w14:paraId="3E471674" w14:textId="7A88886D" w:rsidR="00893449" w:rsidRPr="00DD79E3" w:rsidRDefault="0098325A" w:rsidP="00893449">
      <w:pPr>
        <w:pStyle w:val="ListParagraph"/>
        <w:numPr>
          <w:ilvl w:val="1"/>
          <w:numId w:val="7"/>
        </w:numPr>
        <w:rPr>
          <w:rFonts w:ascii="Arial" w:hAnsi="Arial" w:cs="Arial"/>
          <w:sz w:val="24"/>
          <w:szCs w:val="24"/>
        </w:rPr>
      </w:pPr>
      <w:r w:rsidRPr="00495A67">
        <w:rPr>
          <w:rFonts w:ascii="Arial" w:hAnsi="Arial" w:cs="Arial"/>
          <w:color w:val="202124"/>
          <w:sz w:val="24"/>
          <w:szCs w:val="24"/>
          <w:shd w:val="clear" w:color="auto" w:fill="FFFFFF"/>
        </w:rPr>
        <w:t>Traditional partnership refers to an arrangement wherein two or more person agree to carry on a business and share profits &amp; losses mutually while Limited Liability Partnership is a form of business operation which combines the features of a partnership and a body corporate.</w:t>
      </w:r>
    </w:p>
    <w:p w14:paraId="62E6C764" w14:textId="4A7C22AA" w:rsidR="00DD79E3" w:rsidRPr="00495A67" w:rsidRDefault="00DD79E3" w:rsidP="00893449">
      <w:pPr>
        <w:pStyle w:val="ListParagraph"/>
        <w:numPr>
          <w:ilvl w:val="1"/>
          <w:numId w:val="7"/>
        </w:numPr>
        <w:rPr>
          <w:rFonts w:ascii="Arial" w:hAnsi="Arial" w:cs="Arial"/>
          <w:sz w:val="24"/>
          <w:szCs w:val="24"/>
        </w:rPr>
      </w:pPr>
      <w:r w:rsidRPr="00495A67">
        <w:rPr>
          <w:rFonts w:ascii="Arial" w:hAnsi="Arial" w:cs="Arial"/>
          <w:color w:val="202124"/>
          <w:sz w:val="24"/>
          <w:szCs w:val="24"/>
          <w:shd w:val="clear" w:color="auto" w:fill="FFFFFF"/>
        </w:rPr>
        <w:t>Traditional Partnership has a unlimited liability whereas LLP's Liability is limited to capital contribution, except in case of fraud</w:t>
      </w:r>
    </w:p>
    <w:p w14:paraId="29D7A605" w14:textId="4862AEB9" w:rsidR="00893449" w:rsidRPr="00495A67" w:rsidRDefault="00893449" w:rsidP="00893449">
      <w:pPr>
        <w:pStyle w:val="ListParagraph"/>
        <w:numPr>
          <w:ilvl w:val="1"/>
          <w:numId w:val="7"/>
        </w:numPr>
        <w:rPr>
          <w:rFonts w:ascii="Arial" w:hAnsi="Arial" w:cs="Arial"/>
          <w:sz w:val="24"/>
          <w:szCs w:val="24"/>
        </w:rPr>
      </w:pPr>
      <w:r w:rsidRPr="00495A67">
        <w:rPr>
          <w:rFonts w:ascii="Arial" w:hAnsi="Arial" w:cs="Arial"/>
          <w:color w:val="202124"/>
          <w:sz w:val="24"/>
          <w:szCs w:val="24"/>
          <w:shd w:val="clear" w:color="auto" w:fill="FFFFFF"/>
        </w:rPr>
        <w:t>Partners are collectively known as firm, so there is no separate legal entity while LLP has a separate legal status.</w:t>
      </w:r>
    </w:p>
    <w:p w14:paraId="0CD5DAF5" w14:textId="1CA17EC2" w:rsidR="00893449" w:rsidRPr="00495A67" w:rsidRDefault="00893449" w:rsidP="00DD79E3">
      <w:pPr>
        <w:pStyle w:val="ListParagraph"/>
        <w:rPr>
          <w:rFonts w:ascii="Arial" w:hAnsi="Arial" w:cs="Arial"/>
          <w:sz w:val="24"/>
          <w:szCs w:val="24"/>
        </w:rPr>
      </w:pPr>
    </w:p>
    <w:p w14:paraId="367B2DFF" w14:textId="66903E02" w:rsidR="00AB409B" w:rsidRPr="00495A67" w:rsidRDefault="00AB409B" w:rsidP="00AB409B">
      <w:pPr>
        <w:pStyle w:val="ListParagraph"/>
        <w:rPr>
          <w:rFonts w:ascii="Arial" w:hAnsi="Arial" w:cs="Arial"/>
          <w:color w:val="202124"/>
          <w:sz w:val="24"/>
          <w:szCs w:val="24"/>
          <w:shd w:val="clear" w:color="auto" w:fill="FFFFFF"/>
        </w:rPr>
      </w:pPr>
      <w:r w:rsidRPr="00495A67">
        <w:rPr>
          <w:rFonts w:ascii="Arial" w:hAnsi="Arial" w:cs="Arial"/>
          <w:color w:val="202124"/>
          <w:sz w:val="24"/>
          <w:szCs w:val="24"/>
          <w:shd w:val="clear" w:color="auto" w:fill="FFFFFF"/>
        </w:rPr>
        <w:t>I would suggest the 4 medical practitioners to setup the practice in LLP format to avoid unlimited liablity</w:t>
      </w:r>
      <w:r w:rsidR="009E5C4C" w:rsidRPr="00495A67">
        <w:rPr>
          <w:rFonts w:ascii="Arial" w:hAnsi="Arial" w:cs="Arial"/>
          <w:color w:val="202124"/>
          <w:sz w:val="24"/>
          <w:szCs w:val="24"/>
          <w:shd w:val="clear" w:color="auto" w:fill="FFFFFF"/>
        </w:rPr>
        <w:t>.</w:t>
      </w:r>
    </w:p>
    <w:p w14:paraId="56381ED3" w14:textId="77777777" w:rsidR="00C90684" w:rsidRPr="00495A67" w:rsidRDefault="00C90684" w:rsidP="00AB409B">
      <w:pPr>
        <w:pStyle w:val="ListParagraph"/>
        <w:rPr>
          <w:rFonts w:ascii="Arial" w:hAnsi="Arial" w:cs="Arial"/>
          <w:sz w:val="24"/>
          <w:szCs w:val="24"/>
        </w:rPr>
      </w:pPr>
    </w:p>
    <w:p w14:paraId="1D41E880" w14:textId="753D1500" w:rsidR="00092757" w:rsidRPr="00495A67" w:rsidRDefault="00092757" w:rsidP="00C90684">
      <w:pPr>
        <w:pStyle w:val="ListParagraph"/>
        <w:numPr>
          <w:ilvl w:val="0"/>
          <w:numId w:val="7"/>
        </w:numPr>
        <w:rPr>
          <w:rFonts w:ascii="Arial" w:hAnsi="Arial" w:cs="Arial"/>
          <w:sz w:val="24"/>
          <w:szCs w:val="24"/>
        </w:rPr>
      </w:pPr>
      <w:r w:rsidRPr="00495A67">
        <w:rPr>
          <w:rFonts w:ascii="Arial" w:hAnsi="Arial" w:cs="Arial"/>
          <w:sz w:val="24"/>
          <w:szCs w:val="24"/>
        </w:rPr>
        <w:t xml:space="preserve">I partially agree to Mr Darshan Lodha as some shareholders give more value to the companies which have higher earning as they have high growth potential </w:t>
      </w:r>
    </w:p>
    <w:p w14:paraId="0F266400" w14:textId="7D6A47DC" w:rsidR="00092757" w:rsidRPr="00495A67" w:rsidRDefault="00092757" w:rsidP="00092757">
      <w:pPr>
        <w:pStyle w:val="ListParagraph"/>
        <w:ind w:left="360"/>
        <w:rPr>
          <w:rFonts w:ascii="Arial" w:hAnsi="Arial" w:cs="Arial"/>
          <w:sz w:val="24"/>
          <w:szCs w:val="24"/>
        </w:rPr>
      </w:pPr>
      <w:r w:rsidRPr="00495A67">
        <w:rPr>
          <w:rFonts w:ascii="Arial" w:hAnsi="Arial" w:cs="Arial"/>
          <w:sz w:val="24"/>
          <w:szCs w:val="24"/>
        </w:rPr>
        <w:t>But there as those set of investors too who prefer to take less risk and invest in more stable companies</w:t>
      </w:r>
      <w:r w:rsidR="00C90684" w:rsidRPr="00495A67">
        <w:rPr>
          <w:rFonts w:ascii="Arial" w:hAnsi="Arial" w:cs="Arial"/>
          <w:sz w:val="24"/>
          <w:szCs w:val="24"/>
        </w:rPr>
        <w:t>.</w:t>
      </w:r>
    </w:p>
    <w:p w14:paraId="33550CB0" w14:textId="77777777" w:rsidR="00C90684" w:rsidRPr="00495A67" w:rsidRDefault="00C90684" w:rsidP="00092757">
      <w:pPr>
        <w:pStyle w:val="ListParagraph"/>
        <w:ind w:left="360"/>
        <w:rPr>
          <w:rFonts w:ascii="Arial" w:hAnsi="Arial" w:cs="Arial"/>
          <w:sz w:val="24"/>
          <w:szCs w:val="24"/>
        </w:rPr>
      </w:pPr>
    </w:p>
    <w:p w14:paraId="60B5E9E2" w14:textId="0764041C" w:rsidR="001C1259" w:rsidRPr="00495A67" w:rsidRDefault="001C1259" w:rsidP="00893449">
      <w:pPr>
        <w:pStyle w:val="ListParagraph"/>
        <w:numPr>
          <w:ilvl w:val="0"/>
          <w:numId w:val="7"/>
        </w:numPr>
        <w:rPr>
          <w:rFonts w:ascii="Arial" w:hAnsi="Arial" w:cs="Arial"/>
          <w:sz w:val="24"/>
          <w:szCs w:val="24"/>
        </w:rPr>
      </w:pPr>
      <w:r w:rsidRPr="00495A67">
        <w:rPr>
          <w:rFonts w:ascii="Arial" w:hAnsi="Arial" w:cs="Arial"/>
          <w:sz w:val="24"/>
          <w:szCs w:val="24"/>
        </w:rPr>
        <w:t>As a investor in a startup I would suggest Mr. Kevin to subscribe to convertibles because it will give him a security and a long term wealth creation opportunity.</w:t>
      </w:r>
    </w:p>
    <w:p w14:paraId="52DF6EDE" w14:textId="77777777" w:rsidR="00C90684" w:rsidRPr="00495A67" w:rsidRDefault="00C90684" w:rsidP="00C90684">
      <w:pPr>
        <w:pStyle w:val="ListParagraph"/>
        <w:ind w:left="360"/>
        <w:rPr>
          <w:rFonts w:ascii="Arial" w:hAnsi="Arial" w:cs="Arial"/>
          <w:sz w:val="24"/>
          <w:szCs w:val="24"/>
        </w:rPr>
      </w:pPr>
    </w:p>
    <w:p w14:paraId="019452B4" w14:textId="77777777" w:rsidR="00F452FD" w:rsidRPr="00495A67" w:rsidRDefault="00F452FD" w:rsidP="00C90684">
      <w:pPr>
        <w:pStyle w:val="ListParagraph"/>
        <w:ind w:left="360"/>
        <w:rPr>
          <w:rFonts w:ascii="Arial" w:hAnsi="Arial" w:cs="Arial"/>
          <w:sz w:val="24"/>
          <w:szCs w:val="24"/>
        </w:rPr>
      </w:pPr>
    </w:p>
    <w:p w14:paraId="45C24F7B" w14:textId="77777777" w:rsidR="00F452FD" w:rsidRPr="00495A67" w:rsidRDefault="00F452FD" w:rsidP="00C90684">
      <w:pPr>
        <w:pStyle w:val="ListParagraph"/>
        <w:ind w:left="360"/>
        <w:rPr>
          <w:rFonts w:ascii="Arial" w:hAnsi="Arial" w:cs="Arial"/>
          <w:sz w:val="24"/>
          <w:szCs w:val="24"/>
        </w:rPr>
      </w:pPr>
    </w:p>
    <w:p w14:paraId="442F6F8B" w14:textId="77777777" w:rsidR="00F452FD" w:rsidRPr="00495A67" w:rsidRDefault="00F452FD" w:rsidP="00C90684">
      <w:pPr>
        <w:pStyle w:val="ListParagraph"/>
        <w:ind w:left="360"/>
        <w:rPr>
          <w:rFonts w:ascii="Arial" w:hAnsi="Arial" w:cs="Arial"/>
          <w:sz w:val="24"/>
          <w:szCs w:val="24"/>
        </w:rPr>
      </w:pPr>
    </w:p>
    <w:p w14:paraId="528C723F" w14:textId="77777777" w:rsidR="00F452FD" w:rsidRPr="00495A67" w:rsidRDefault="00F452FD" w:rsidP="00C90684">
      <w:pPr>
        <w:pStyle w:val="ListParagraph"/>
        <w:ind w:left="360"/>
        <w:rPr>
          <w:rFonts w:ascii="Arial" w:hAnsi="Arial" w:cs="Arial"/>
          <w:sz w:val="24"/>
          <w:szCs w:val="24"/>
        </w:rPr>
      </w:pPr>
    </w:p>
    <w:p w14:paraId="4EC71F96" w14:textId="77777777" w:rsidR="00F452FD" w:rsidRPr="00495A67" w:rsidRDefault="00F452FD" w:rsidP="00C90684">
      <w:pPr>
        <w:pStyle w:val="ListParagraph"/>
        <w:ind w:left="360"/>
        <w:rPr>
          <w:rFonts w:ascii="Arial" w:hAnsi="Arial" w:cs="Arial"/>
          <w:sz w:val="24"/>
          <w:szCs w:val="24"/>
        </w:rPr>
      </w:pPr>
    </w:p>
    <w:p w14:paraId="35FFC2C1" w14:textId="77777777" w:rsidR="00F452FD" w:rsidRPr="00495A67" w:rsidRDefault="00F452FD" w:rsidP="00C90684">
      <w:pPr>
        <w:pStyle w:val="ListParagraph"/>
        <w:ind w:left="360"/>
        <w:rPr>
          <w:rFonts w:ascii="Arial" w:hAnsi="Arial" w:cs="Arial"/>
          <w:sz w:val="24"/>
          <w:szCs w:val="24"/>
        </w:rPr>
      </w:pPr>
    </w:p>
    <w:p w14:paraId="21469518" w14:textId="77777777" w:rsidR="00F452FD" w:rsidRPr="00495A67" w:rsidRDefault="00F452FD" w:rsidP="00C90684">
      <w:pPr>
        <w:pStyle w:val="ListParagraph"/>
        <w:ind w:left="360"/>
        <w:rPr>
          <w:rFonts w:ascii="Arial" w:hAnsi="Arial" w:cs="Arial"/>
          <w:sz w:val="24"/>
          <w:szCs w:val="24"/>
        </w:rPr>
      </w:pPr>
    </w:p>
    <w:p w14:paraId="433DE2A1" w14:textId="77777777" w:rsidR="00F452FD" w:rsidRPr="00495A67" w:rsidRDefault="00F452FD" w:rsidP="00C90684">
      <w:pPr>
        <w:pStyle w:val="ListParagraph"/>
        <w:ind w:left="360"/>
        <w:rPr>
          <w:rFonts w:ascii="Arial" w:hAnsi="Arial" w:cs="Arial"/>
          <w:sz w:val="24"/>
          <w:szCs w:val="24"/>
        </w:rPr>
      </w:pPr>
    </w:p>
    <w:p w14:paraId="0D1D7750" w14:textId="77777777" w:rsidR="00F452FD" w:rsidRPr="00495A67" w:rsidRDefault="00F452FD" w:rsidP="00C90684">
      <w:pPr>
        <w:pStyle w:val="ListParagraph"/>
        <w:ind w:left="360"/>
        <w:rPr>
          <w:rFonts w:ascii="Arial" w:hAnsi="Arial" w:cs="Arial"/>
          <w:sz w:val="24"/>
          <w:szCs w:val="24"/>
        </w:rPr>
      </w:pPr>
    </w:p>
    <w:p w14:paraId="74844FCD" w14:textId="77777777" w:rsidR="00F452FD" w:rsidRPr="00495A67" w:rsidRDefault="00F452FD" w:rsidP="00C90684">
      <w:pPr>
        <w:pStyle w:val="ListParagraph"/>
        <w:ind w:left="360"/>
        <w:rPr>
          <w:rFonts w:ascii="Arial" w:hAnsi="Arial" w:cs="Arial"/>
          <w:sz w:val="24"/>
          <w:szCs w:val="24"/>
        </w:rPr>
      </w:pPr>
    </w:p>
    <w:p w14:paraId="0FD5FCE5" w14:textId="77777777" w:rsidR="00F452FD" w:rsidRPr="00495A67" w:rsidRDefault="00F452FD" w:rsidP="00C90684">
      <w:pPr>
        <w:pStyle w:val="ListParagraph"/>
        <w:ind w:left="360"/>
        <w:rPr>
          <w:rFonts w:ascii="Arial" w:hAnsi="Arial" w:cs="Arial"/>
          <w:sz w:val="24"/>
          <w:szCs w:val="24"/>
        </w:rPr>
      </w:pPr>
    </w:p>
    <w:p w14:paraId="64D616CC" w14:textId="77777777" w:rsidR="00F452FD" w:rsidRPr="00495A67" w:rsidRDefault="00F452FD" w:rsidP="00C90684">
      <w:pPr>
        <w:pStyle w:val="ListParagraph"/>
        <w:ind w:left="360"/>
        <w:rPr>
          <w:rFonts w:ascii="Arial" w:hAnsi="Arial" w:cs="Arial"/>
          <w:sz w:val="24"/>
          <w:szCs w:val="24"/>
        </w:rPr>
      </w:pPr>
    </w:p>
    <w:p w14:paraId="151C482E" w14:textId="77777777" w:rsidR="00F452FD" w:rsidRPr="00495A67" w:rsidRDefault="00F452FD" w:rsidP="00C90684">
      <w:pPr>
        <w:pStyle w:val="ListParagraph"/>
        <w:ind w:left="360"/>
        <w:rPr>
          <w:rFonts w:ascii="Arial" w:hAnsi="Arial" w:cs="Arial"/>
          <w:sz w:val="24"/>
          <w:szCs w:val="24"/>
        </w:rPr>
      </w:pPr>
    </w:p>
    <w:p w14:paraId="0524AE5D" w14:textId="77777777" w:rsidR="00F452FD" w:rsidRPr="00495A67" w:rsidRDefault="00F452FD" w:rsidP="00C90684">
      <w:pPr>
        <w:pStyle w:val="ListParagraph"/>
        <w:ind w:left="360"/>
        <w:rPr>
          <w:rFonts w:ascii="Arial" w:hAnsi="Arial" w:cs="Arial"/>
          <w:sz w:val="24"/>
          <w:szCs w:val="24"/>
        </w:rPr>
      </w:pPr>
    </w:p>
    <w:p w14:paraId="4DB77487" w14:textId="77777777" w:rsidR="00F452FD" w:rsidRPr="00495A67" w:rsidRDefault="00F452FD" w:rsidP="00C90684">
      <w:pPr>
        <w:pStyle w:val="ListParagraph"/>
        <w:ind w:left="360"/>
        <w:rPr>
          <w:rFonts w:ascii="Arial" w:hAnsi="Arial" w:cs="Arial"/>
          <w:sz w:val="24"/>
          <w:szCs w:val="24"/>
        </w:rPr>
      </w:pPr>
    </w:p>
    <w:p w14:paraId="34B63E8E" w14:textId="77777777" w:rsidR="00A20732" w:rsidRPr="00495A67" w:rsidRDefault="00A20732" w:rsidP="00C90684">
      <w:pPr>
        <w:pStyle w:val="ListParagraph"/>
        <w:ind w:left="360"/>
        <w:rPr>
          <w:rFonts w:ascii="Arial" w:hAnsi="Arial" w:cs="Arial"/>
          <w:sz w:val="24"/>
          <w:szCs w:val="24"/>
        </w:rPr>
      </w:pPr>
    </w:p>
    <w:p w14:paraId="54C1A946" w14:textId="0449FDD4" w:rsidR="00951638" w:rsidRPr="00495A67" w:rsidRDefault="00420308" w:rsidP="00893449">
      <w:pPr>
        <w:pStyle w:val="ListParagraph"/>
        <w:numPr>
          <w:ilvl w:val="0"/>
          <w:numId w:val="7"/>
        </w:numPr>
        <w:rPr>
          <w:rFonts w:ascii="Arial" w:hAnsi="Arial" w:cs="Arial"/>
          <w:sz w:val="24"/>
          <w:szCs w:val="24"/>
        </w:rPr>
      </w:pPr>
      <w:r w:rsidRPr="00495A67">
        <w:rPr>
          <w:rFonts w:ascii="Arial" w:hAnsi="Arial" w:cs="Arial"/>
          <w:sz w:val="24"/>
          <w:szCs w:val="24"/>
        </w:rPr>
        <w:t>Differences between Private Ltd and Public Ltd. Companies are</w:t>
      </w:r>
      <w:r w:rsidR="004635DE" w:rsidRPr="00495A67">
        <w:rPr>
          <w:rFonts w:ascii="Arial" w:hAnsi="Arial" w:cs="Arial"/>
          <w:sz w:val="24"/>
          <w:szCs w:val="24"/>
        </w:rPr>
        <w:t xml:space="preserve"> as follows:</w:t>
      </w:r>
    </w:p>
    <w:tbl>
      <w:tblPr>
        <w:tblStyle w:val="GridTable5Dark-Accent2"/>
        <w:tblW w:w="0" w:type="auto"/>
        <w:tblLook w:val="04A0" w:firstRow="1" w:lastRow="0" w:firstColumn="1" w:lastColumn="0" w:noHBand="0" w:noVBand="1"/>
      </w:tblPr>
      <w:tblGrid>
        <w:gridCol w:w="4571"/>
        <w:gridCol w:w="4779"/>
      </w:tblGrid>
      <w:tr w:rsidR="000B4920" w:rsidRPr="000B4920" w14:paraId="389F895F" w14:textId="77777777" w:rsidTr="00DD7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3D587DA" w14:textId="13B0E691" w:rsidR="008C632F" w:rsidRPr="000B4920" w:rsidRDefault="00A114C2" w:rsidP="004635DE">
            <w:pPr>
              <w:pStyle w:val="ListParagraph"/>
              <w:ind w:left="0"/>
              <w:rPr>
                <w:rFonts w:ascii="Arial" w:hAnsi="Arial" w:cs="Arial"/>
                <w:b w:val="0"/>
                <w:bCs w:val="0"/>
                <w:i/>
                <w:iCs/>
                <w:color w:val="auto"/>
                <w:sz w:val="24"/>
                <w:szCs w:val="24"/>
              </w:rPr>
            </w:pPr>
            <w:r w:rsidRPr="000B4920">
              <w:rPr>
                <w:rFonts w:ascii="Arial" w:hAnsi="Arial" w:cs="Arial"/>
                <w:b w:val="0"/>
                <w:bCs w:val="0"/>
                <w:i/>
                <w:iCs/>
                <w:color w:val="auto"/>
                <w:sz w:val="24"/>
                <w:szCs w:val="24"/>
              </w:rPr>
              <w:t>P</w:t>
            </w:r>
            <w:r w:rsidR="00FB4244" w:rsidRPr="000B4920">
              <w:rPr>
                <w:rFonts w:ascii="Arial" w:hAnsi="Arial" w:cs="Arial"/>
                <w:b w:val="0"/>
                <w:bCs w:val="0"/>
                <w:i/>
                <w:iCs/>
                <w:color w:val="auto"/>
                <w:sz w:val="24"/>
                <w:szCs w:val="24"/>
              </w:rPr>
              <w:t>rivate</w:t>
            </w:r>
            <w:r w:rsidRPr="000B4920">
              <w:rPr>
                <w:rFonts w:ascii="Arial" w:hAnsi="Arial" w:cs="Arial"/>
                <w:b w:val="0"/>
                <w:bCs w:val="0"/>
                <w:i/>
                <w:iCs/>
                <w:color w:val="auto"/>
                <w:sz w:val="24"/>
                <w:szCs w:val="24"/>
              </w:rPr>
              <w:t xml:space="preserve"> Ltd. Company</w:t>
            </w:r>
          </w:p>
        </w:tc>
        <w:tc>
          <w:tcPr>
            <w:tcW w:w="4675" w:type="dxa"/>
          </w:tcPr>
          <w:p w14:paraId="51C97522" w14:textId="6CD9F8D3" w:rsidR="008C632F" w:rsidRPr="000B4920" w:rsidRDefault="00A114C2" w:rsidP="004635DE">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sz w:val="24"/>
                <w:szCs w:val="24"/>
              </w:rPr>
            </w:pPr>
            <w:r w:rsidRPr="000B4920">
              <w:rPr>
                <w:rFonts w:ascii="Arial" w:hAnsi="Arial" w:cs="Arial"/>
                <w:b w:val="0"/>
                <w:bCs w:val="0"/>
                <w:i/>
                <w:iCs/>
                <w:color w:val="auto"/>
                <w:sz w:val="24"/>
                <w:szCs w:val="24"/>
              </w:rPr>
              <w:t>P</w:t>
            </w:r>
            <w:r w:rsidR="00FB4244" w:rsidRPr="000B4920">
              <w:rPr>
                <w:rFonts w:ascii="Arial" w:hAnsi="Arial" w:cs="Arial"/>
                <w:b w:val="0"/>
                <w:bCs w:val="0"/>
                <w:i/>
                <w:iCs/>
                <w:color w:val="auto"/>
                <w:sz w:val="24"/>
                <w:szCs w:val="24"/>
              </w:rPr>
              <w:t xml:space="preserve">ublic </w:t>
            </w:r>
            <w:r w:rsidRPr="000B4920">
              <w:rPr>
                <w:rFonts w:ascii="Arial" w:hAnsi="Arial" w:cs="Arial"/>
                <w:b w:val="0"/>
                <w:bCs w:val="0"/>
                <w:i/>
                <w:iCs/>
                <w:color w:val="auto"/>
                <w:sz w:val="24"/>
                <w:szCs w:val="24"/>
              </w:rPr>
              <w:t>Ltd. Companies</w:t>
            </w:r>
          </w:p>
        </w:tc>
      </w:tr>
      <w:tr w:rsidR="000B4920" w:rsidRPr="000B4920" w14:paraId="10E87F94" w14:textId="77777777" w:rsidTr="00DD79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4675" w:type="dxa"/>
          </w:tcPr>
          <w:tbl>
            <w:tblPr>
              <w:tblW w:w="13500" w:type="dxa"/>
              <w:shd w:val="clear" w:color="auto" w:fill="FFFFFF"/>
              <w:tblCellMar>
                <w:top w:w="15" w:type="dxa"/>
                <w:left w:w="15" w:type="dxa"/>
                <w:bottom w:w="15" w:type="dxa"/>
                <w:right w:w="15" w:type="dxa"/>
              </w:tblCellMar>
              <w:tblLook w:val="04A0" w:firstRow="1" w:lastRow="0" w:firstColumn="1" w:lastColumn="0" w:noHBand="0" w:noVBand="1"/>
            </w:tblPr>
            <w:tblGrid>
              <w:gridCol w:w="13500"/>
            </w:tblGrid>
            <w:tr w:rsidR="000B4920" w:rsidRPr="000B4920" w14:paraId="290B90AC" w14:textId="77777777" w:rsidTr="003D2F48">
              <w:tc>
                <w:tcPr>
                  <w:tcW w:w="0" w:type="auto"/>
                  <w:tcBorders>
                    <w:top w:val="single" w:sz="12" w:space="0" w:color="4EC2F5"/>
                    <w:left w:val="single" w:sz="12" w:space="0" w:color="4EC2F5"/>
                    <w:bottom w:val="single" w:sz="12" w:space="0" w:color="4EC2F5"/>
                    <w:right w:val="single" w:sz="12" w:space="0" w:color="4EC2F5"/>
                  </w:tcBorders>
                  <w:shd w:val="clear" w:color="auto" w:fill="FFFFFF"/>
                  <w:tcMar>
                    <w:top w:w="150" w:type="dxa"/>
                    <w:left w:w="150" w:type="dxa"/>
                    <w:bottom w:w="150" w:type="dxa"/>
                    <w:right w:w="150" w:type="dxa"/>
                  </w:tcMar>
                  <w:vAlign w:val="center"/>
                  <w:hideMark/>
                </w:tcPr>
                <w:p w14:paraId="6194EB16" w14:textId="77777777" w:rsidR="003D2F48" w:rsidRPr="000B4920" w:rsidRDefault="003D2F48" w:rsidP="003D2F48">
                  <w:pPr>
                    <w:spacing w:after="0" w:line="240" w:lineRule="auto"/>
                    <w:rPr>
                      <w:rFonts w:ascii="Arial" w:eastAsia="Times New Roman" w:hAnsi="Arial" w:cs="Arial"/>
                      <w:i/>
                      <w:iCs/>
                      <w:sz w:val="24"/>
                      <w:szCs w:val="24"/>
                    </w:rPr>
                  </w:pPr>
                  <w:r w:rsidRPr="000B4920">
                    <w:rPr>
                      <w:rFonts w:ascii="Arial" w:eastAsia="Times New Roman" w:hAnsi="Arial" w:cs="Arial"/>
                      <w:i/>
                      <w:iCs/>
                      <w:sz w:val="24"/>
                      <w:szCs w:val="24"/>
                    </w:rPr>
                    <w:t>No minimum share capital.</w:t>
                  </w:r>
                </w:p>
              </w:tc>
            </w:tr>
            <w:tr w:rsidR="000B4920" w:rsidRPr="000B4920" w14:paraId="645173D6" w14:textId="77777777" w:rsidTr="003D2F48">
              <w:tc>
                <w:tcPr>
                  <w:tcW w:w="0" w:type="auto"/>
                  <w:shd w:val="clear" w:color="auto" w:fill="FFFFFF"/>
                  <w:vAlign w:val="center"/>
                  <w:hideMark/>
                </w:tcPr>
                <w:p w14:paraId="3BB9DC9E" w14:textId="77777777" w:rsidR="003D2F48" w:rsidRPr="000B4920" w:rsidRDefault="003D2F48" w:rsidP="003D2F48">
                  <w:pPr>
                    <w:spacing w:after="0" w:line="240" w:lineRule="auto"/>
                    <w:rPr>
                      <w:rFonts w:ascii="Arial" w:eastAsia="Times New Roman" w:hAnsi="Arial" w:cs="Arial"/>
                      <w:i/>
                      <w:iCs/>
                      <w:sz w:val="24"/>
                      <w:szCs w:val="24"/>
                    </w:rPr>
                  </w:pPr>
                </w:p>
              </w:tc>
            </w:tr>
          </w:tbl>
          <w:p w14:paraId="5B65CA31" w14:textId="77777777" w:rsidR="008C632F" w:rsidRPr="000B4920" w:rsidRDefault="008C632F" w:rsidP="004635DE">
            <w:pPr>
              <w:pStyle w:val="ListParagraph"/>
              <w:ind w:left="0"/>
              <w:rPr>
                <w:rFonts w:ascii="Arial" w:hAnsi="Arial" w:cs="Arial"/>
                <w:b w:val="0"/>
                <w:bCs w:val="0"/>
                <w:i/>
                <w:iCs/>
                <w:color w:val="auto"/>
                <w:sz w:val="24"/>
                <w:szCs w:val="24"/>
              </w:rPr>
            </w:pPr>
          </w:p>
        </w:tc>
        <w:tc>
          <w:tcPr>
            <w:tcW w:w="4675" w:type="dxa"/>
          </w:tcPr>
          <w:p w14:paraId="2D209B1D" w14:textId="77777777" w:rsidR="00FB4244" w:rsidRPr="000B4920" w:rsidRDefault="00FB4244" w:rsidP="00FB4244">
            <w:pPr>
              <w:cnfStyle w:val="000000100000" w:firstRow="0" w:lastRow="0" w:firstColumn="0" w:lastColumn="0" w:oddVBand="0" w:evenVBand="0" w:oddHBand="1" w:evenHBand="0" w:firstRowFirstColumn="0" w:firstRowLastColumn="0" w:lastRowFirstColumn="0" w:lastRowLastColumn="0"/>
              <w:rPr>
                <w:rFonts w:ascii="Arial" w:hAnsi="Arial" w:cs="Arial"/>
                <w:i/>
                <w:iCs/>
                <w:sz w:val="24"/>
                <w:szCs w:val="24"/>
              </w:rPr>
            </w:pPr>
            <w:r w:rsidRPr="000B4920">
              <w:rPr>
                <w:rFonts w:ascii="Arial" w:hAnsi="Arial" w:cs="Arial"/>
                <w:i/>
                <w:iCs/>
                <w:sz w:val="24"/>
                <w:szCs w:val="24"/>
              </w:rPr>
              <w:t>A public limited company must have a minimum of £50,000 in share capital.</w:t>
            </w:r>
          </w:p>
          <w:p w14:paraId="6B0A9AFB" w14:textId="77777777" w:rsidR="008C632F" w:rsidRPr="000B4920" w:rsidRDefault="008C632F" w:rsidP="004635D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i/>
                <w:iCs/>
                <w:sz w:val="24"/>
                <w:szCs w:val="24"/>
              </w:rPr>
            </w:pPr>
          </w:p>
        </w:tc>
      </w:tr>
      <w:tr w:rsidR="000B4920" w:rsidRPr="000B4920" w14:paraId="757045BF" w14:textId="77777777" w:rsidTr="00DD79E3">
        <w:tc>
          <w:tcPr>
            <w:cnfStyle w:val="001000000000" w:firstRow="0" w:lastRow="0" w:firstColumn="1" w:lastColumn="0" w:oddVBand="0" w:evenVBand="0" w:oddHBand="0" w:evenHBand="0" w:firstRowFirstColumn="0" w:firstRowLastColumn="0" w:lastRowFirstColumn="0" w:lastRowLastColumn="0"/>
            <w:tcW w:w="4675" w:type="dxa"/>
          </w:tcPr>
          <w:p w14:paraId="128A6AC8" w14:textId="77777777" w:rsidR="00743F57" w:rsidRPr="000B4920" w:rsidRDefault="00743F57" w:rsidP="00743F57">
            <w:pPr>
              <w:numPr>
                <w:ilvl w:val="0"/>
                <w:numId w:val="22"/>
              </w:numPr>
              <w:shd w:val="clear" w:color="auto" w:fill="FFFFFF"/>
              <w:spacing w:before="100" w:beforeAutospacing="1" w:after="100" w:afterAutospacing="1"/>
              <w:rPr>
                <w:rFonts w:ascii="Arial" w:eastAsia="Times New Roman" w:hAnsi="Arial" w:cs="Arial"/>
                <w:b w:val="0"/>
                <w:bCs w:val="0"/>
                <w:i/>
                <w:iCs/>
                <w:color w:val="auto"/>
                <w:sz w:val="24"/>
                <w:szCs w:val="24"/>
              </w:rPr>
            </w:pPr>
            <w:r w:rsidRPr="000B4920">
              <w:rPr>
                <w:rFonts w:ascii="Arial" w:eastAsia="Times New Roman" w:hAnsi="Arial" w:cs="Arial"/>
                <w:b w:val="0"/>
                <w:bCs w:val="0"/>
                <w:i/>
                <w:iCs/>
                <w:color w:val="auto"/>
                <w:sz w:val="24"/>
                <w:szCs w:val="24"/>
              </w:rPr>
              <w:t>Not permitted to trade on stock market.</w:t>
            </w:r>
          </w:p>
          <w:p w14:paraId="632F29EF" w14:textId="77777777" w:rsidR="00743F57" w:rsidRPr="000B4920" w:rsidRDefault="00743F57" w:rsidP="00743F57">
            <w:pPr>
              <w:numPr>
                <w:ilvl w:val="0"/>
                <w:numId w:val="22"/>
              </w:numPr>
              <w:shd w:val="clear" w:color="auto" w:fill="FFFFFF"/>
              <w:spacing w:before="100" w:beforeAutospacing="1" w:after="100" w:afterAutospacing="1"/>
              <w:rPr>
                <w:rFonts w:ascii="Arial" w:eastAsia="Times New Roman" w:hAnsi="Arial" w:cs="Arial"/>
                <w:b w:val="0"/>
                <w:bCs w:val="0"/>
                <w:i/>
                <w:iCs/>
                <w:color w:val="auto"/>
                <w:sz w:val="24"/>
                <w:szCs w:val="24"/>
              </w:rPr>
            </w:pPr>
            <w:r w:rsidRPr="000B4920">
              <w:rPr>
                <w:rFonts w:ascii="Arial" w:eastAsia="Times New Roman" w:hAnsi="Arial" w:cs="Arial"/>
                <w:b w:val="0"/>
                <w:bCs w:val="0"/>
                <w:i/>
                <w:iCs/>
                <w:color w:val="auto"/>
                <w:sz w:val="24"/>
                <w:szCs w:val="24"/>
              </w:rPr>
              <w:t>Can only sell or transfer shares privately.</w:t>
            </w:r>
          </w:p>
          <w:p w14:paraId="427315ED" w14:textId="77777777" w:rsidR="008C632F" w:rsidRPr="000B4920" w:rsidRDefault="008C632F" w:rsidP="004635DE">
            <w:pPr>
              <w:pStyle w:val="ListParagraph"/>
              <w:ind w:left="0"/>
              <w:rPr>
                <w:rFonts w:ascii="Arial" w:hAnsi="Arial" w:cs="Arial"/>
                <w:b w:val="0"/>
                <w:bCs w:val="0"/>
                <w:i/>
                <w:iCs/>
                <w:color w:val="auto"/>
                <w:sz w:val="24"/>
                <w:szCs w:val="24"/>
              </w:rPr>
            </w:pPr>
          </w:p>
        </w:tc>
        <w:tc>
          <w:tcPr>
            <w:tcW w:w="4675" w:type="dxa"/>
          </w:tcPr>
          <w:tbl>
            <w:tblPr>
              <w:tblW w:w="13500" w:type="dxa"/>
              <w:shd w:val="clear" w:color="auto" w:fill="FFFFFF"/>
              <w:tblCellMar>
                <w:top w:w="15" w:type="dxa"/>
                <w:left w:w="15" w:type="dxa"/>
                <w:bottom w:w="15" w:type="dxa"/>
                <w:right w:w="15" w:type="dxa"/>
              </w:tblCellMar>
              <w:tblLook w:val="04A0" w:firstRow="1" w:lastRow="0" w:firstColumn="1" w:lastColumn="0" w:noHBand="0" w:noVBand="1"/>
            </w:tblPr>
            <w:tblGrid>
              <w:gridCol w:w="12619"/>
              <w:gridCol w:w="881"/>
            </w:tblGrid>
            <w:tr w:rsidR="000B4920" w:rsidRPr="000B4920" w14:paraId="11B2BB07" w14:textId="77777777" w:rsidTr="00577434">
              <w:tc>
                <w:tcPr>
                  <w:tcW w:w="0" w:type="auto"/>
                  <w:tcBorders>
                    <w:top w:val="single" w:sz="12" w:space="0" w:color="4EC2F5"/>
                    <w:left w:val="single" w:sz="12" w:space="0" w:color="4EC2F5"/>
                    <w:bottom w:val="single" w:sz="12" w:space="0" w:color="4EC2F5"/>
                    <w:right w:val="single" w:sz="12" w:space="0" w:color="4EC2F5"/>
                  </w:tcBorders>
                  <w:shd w:val="clear" w:color="auto" w:fill="FFFFFF"/>
                  <w:tcMar>
                    <w:top w:w="150" w:type="dxa"/>
                    <w:left w:w="150" w:type="dxa"/>
                    <w:bottom w:w="150" w:type="dxa"/>
                    <w:right w:w="150" w:type="dxa"/>
                  </w:tcMar>
                  <w:vAlign w:val="center"/>
                  <w:hideMark/>
                </w:tcPr>
                <w:p w14:paraId="500EBE1A" w14:textId="77777777" w:rsidR="00015E6F" w:rsidRPr="000B4920" w:rsidRDefault="00577434" w:rsidP="00577434">
                  <w:pPr>
                    <w:spacing w:after="0" w:line="240" w:lineRule="auto"/>
                    <w:rPr>
                      <w:rFonts w:ascii="Arial" w:eastAsia="Times New Roman" w:hAnsi="Arial" w:cs="Arial"/>
                      <w:i/>
                      <w:iCs/>
                      <w:sz w:val="24"/>
                      <w:szCs w:val="24"/>
                    </w:rPr>
                  </w:pPr>
                  <w:r w:rsidRPr="000B4920">
                    <w:rPr>
                      <w:rFonts w:ascii="Arial" w:eastAsia="Times New Roman" w:hAnsi="Arial" w:cs="Arial"/>
                      <w:i/>
                      <w:iCs/>
                      <w:sz w:val="24"/>
                      <w:szCs w:val="24"/>
                    </w:rPr>
                    <w:t>Can sell shares on the stock market to</w:t>
                  </w:r>
                </w:p>
                <w:p w14:paraId="0ADBFDE1" w14:textId="609FCECC" w:rsidR="00577434" w:rsidRPr="000B4920" w:rsidRDefault="00577434" w:rsidP="00577434">
                  <w:pPr>
                    <w:spacing w:after="0" w:line="240" w:lineRule="auto"/>
                    <w:rPr>
                      <w:rFonts w:ascii="Arial" w:eastAsia="Times New Roman" w:hAnsi="Arial" w:cs="Arial"/>
                      <w:i/>
                      <w:iCs/>
                      <w:sz w:val="24"/>
                      <w:szCs w:val="24"/>
                    </w:rPr>
                  </w:pPr>
                  <w:r w:rsidRPr="000B4920">
                    <w:rPr>
                      <w:rFonts w:ascii="Arial" w:eastAsia="Times New Roman" w:hAnsi="Arial" w:cs="Arial"/>
                      <w:i/>
                      <w:iCs/>
                      <w:sz w:val="24"/>
                      <w:szCs w:val="24"/>
                    </w:rPr>
                    <w:t>raise money for the company.</w:t>
                  </w:r>
                </w:p>
              </w:tc>
              <w:tc>
                <w:tcPr>
                  <w:tcW w:w="0" w:type="auto"/>
                  <w:tcBorders>
                    <w:top w:val="single" w:sz="12" w:space="0" w:color="4EC2F5"/>
                    <w:left w:val="single" w:sz="12" w:space="0" w:color="4EC2F5"/>
                    <w:bottom w:val="single" w:sz="12" w:space="0" w:color="4EC2F5"/>
                    <w:right w:val="single" w:sz="12" w:space="0" w:color="4EC2F5"/>
                  </w:tcBorders>
                  <w:shd w:val="clear" w:color="auto" w:fill="FFFFFF"/>
                  <w:tcMar>
                    <w:top w:w="150" w:type="dxa"/>
                    <w:left w:w="150" w:type="dxa"/>
                    <w:bottom w:w="150" w:type="dxa"/>
                    <w:right w:w="150" w:type="dxa"/>
                  </w:tcMar>
                  <w:vAlign w:val="center"/>
                  <w:hideMark/>
                </w:tcPr>
                <w:p w14:paraId="34A74FF2" w14:textId="77777777" w:rsidR="00577434" w:rsidRPr="000B4920" w:rsidRDefault="00577434" w:rsidP="00577434">
                  <w:pPr>
                    <w:spacing w:after="0" w:line="240" w:lineRule="auto"/>
                    <w:rPr>
                      <w:rFonts w:ascii="Arial" w:eastAsia="Times New Roman" w:hAnsi="Arial" w:cs="Arial"/>
                      <w:i/>
                      <w:iCs/>
                      <w:sz w:val="24"/>
                      <w:szCs w:val="24"/>
                    </w:rPr>
                  </w:pPr>
                </w:p>
              </w:tc>
            </w:tr>
          </w:tbl>
          <w:p w14:paraId="541CF1AC" w14:textId="77777777" w:rsidR="008C632F" w:rsidRPr="000B4920" w:rsidRDefault="008C632F" w:rsidP="004635D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i/>
                <w:iCs/>
                <w:sz w:val="24"/>
                <w:szCs w:val="24"/>
              </w:rPr>
            </w:pPr>
          </w:p>
        </w:tc>
      </w:tr>
      <w:tr w:rsidR="000B4920" w:rsidRPr="000B4920" w14:paraId="375E1866" w14:textId="77777777" w:rsidTr="00DD7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A0C1093" w14:textId="07B90815" w:rsidR="00C242D5" w:rsidRPr="000B4920" w:rsidRDefault="00C242D5" w:rsidP="00F452FD">
            <w:pPr>
              <w:numPr>
                <w:ilvl w:val="0"/>
                <w:numId w:val="23"/>
              </w:numPr>
              <w:shd w:val="clear" w:color="auto" w:fill="FFFFFF"/>
              <w:spacing w:before="100" w:beforeAutospacing="1" w:after="100" w:afterAutospacing="1"/>
              <w:rPr>
                <w:rFonts w:ascii="Arial" w:eastAsia="Times New Roman" w:hAnsi="Arial" w:cs="Arial"/>
                <w:b w:val="0"/>
                <w:bCs w:val="0"/>
                <w:i/>
                <w:iCs/>
                <w:color w:val="auto"/>
                <w:sz w:val="24"/>
                <w:szCs w:val="24"/>
              </w:rPr>
            </w:pPr>
            <w:r w:rsidRPr="000B4920">
              <w:rPr>
                <w:rFonts w:ascii="Arial" w:eastAsia="Times New Roman" w:hAnsi="Arial" w:cs="Arial"/>
                <w:b w:val="0"/>
                <w:bCs w:val="0"/>
                <w:i/>
                <w:iCs/>
                <w:color w:val="auto"/>
                <w:sz w:val="24"/>
                <w:szCs w:val="24"/>
              </w:rPr>
              <w:t>Requires at least one individual to act as director, who must be at least 16 years old.</w:t>
            </w:r>
          </w:p>
          <w:p w14:paraId="2BE4948C" w14:textId="77777777" w:rsidR="00C242D5" w:rsidRPr="000B4920" w:rsidRDefault="00C242D5" w:rsidP="00C242D5">
            <w:pPr>
              <w:numPr>
                <w:ilvl w:val="0"/>
                <w:numId w:val="23"/>
              </w:numPr>
              <w:shd w:val="clear" w:color="auto" w:fill="FFFFFF"/>
              <w:spacing w:before="100" w:beforeAutospacing="1" w:after="100" w:afterAutospacing="1"/>
              <w:rPr>
                <w:rFonts w:ascii="Arial" w:eastAsia="Times New Roman" w:hAnsi="Arial" w:cs="Arial"/>
                <w:b w:val="0"/>
                <w:bCs w:val="0"/>
                <w:i/>
                <w:iCs/>
                <w:color w:val="auto"/>
                <w:sz w:val="24"/>
                <w:szCs w:val="24"/>
              </w:rPr>
            </w:pPr>
            <w:r w:rsidRPr="000B4920">
              <w:rPr>
                <w:rFonts w:ascii="Arial" w:eastAsia="Times New Roman" w:hAnsi="Arial" w:cs="Arial"/>
                <w:b w:val="0"/>
                <w:bCs w:val="0"/>
                <w:i/>
                <w:iCs/>
                <w:color w:val="auto"/>
                <w:sz w:val="24"/>
                <w:szCs w:val="24"/>
              </w:rPr>
              <w:t>This person can also be the sole shareholder.</w:t>
            </w:r>
          </w:p>
          <w:p w14:paraId="7B237AB9" w14:textId="77777777" w:rsidR="00C242D5" w:rsidRPr="000B4920" w:rsidRDefault="00C242D5" w:rsidP="00C242D5">
            <w:pPr>
              <w:numPr>
                <w:ilvl w:val="0"/>
                <w:numId w:val="23"/>
              </w:numPr>
              <w:shd w:val="clear" w:color="auto" w:fill="FFFFFF"/>
              <w:spacing w:before="100" w:beforeAutospacing="1" w:after="100" w:afterAutospacing="1"/>
              <w:rPr>
                <w:rFonts w:ascii="Arial" w:eastAsia="Times New Roman" w:hAnsi="Arial" w:cs="Arial"/>
                <w:b w:val="0"/>
                <w:bCs w:val="0"/>
                <w:i/>
                <w:iCs/>
                <w:color w:val="auto"/>
                <w:sz w:val="24"/>
                <w:szCs w:val="24"/>
              </w:rPr>
            </w:pPr>
            <w:r w:rsidRPr="000B4920">
              <w:rPr>
                <w:rFonts w:ascii="Arial" w:eastAsia="Times New Roman" w:hAnsi="Arial" w:cs="Arial"/>
                <w:b w:val="0"/>
                <w:bCs w:val="0"/>
                <w:i/>
                <w:iCs/>
                <w:color w:val="auto"/>
                <w:sz w:val="24"/>
                <w:szCs w:val="24"/>
              </w:rPr>
              <w:t>Doesn’t require a company secretary.</w:t>
            </w:r>
          </w:p>
          <w:p w14:paraId="6F30B0A9" w14:textId="77777777" w:rsidR="008C632F" w:rsidRPr="000B4920" w:rsidRDefault="008C632F" w:rsidP="004635DE">
            <w:pPr>
              <w:pStyle w:val="ListParagraph"/>
              <w:ind w:left="0"/>
              <w:rPr>
                <w:rFonts w:ascii="Arial" w:hAnsi="Arial" w:cs="Arial"/>
                <w:b w:val="0"/>
                <w:bCs w:val="0"/>
                <w:i/>
                <w:iCs/>
                <w:color w:val="auto"/>
                <w:sz w:val="24"/>
                <w:szCs w:val="24"/>
              </w:rPr>
            </w:pPr>
          </w:p>
        </w:tc>
        <w:tc>
          <w:tcPr>
            <w:tcW w:w="4675" w:type="dxa"/>
          </w:tcPr>
          <w:tbl>
            <w:tblPr>
              <w:tblW w:w="13500" w:type="dxa"/>
              <w:shd w:val="clear" w:color="auto" w:fill="FFFFFF"/>
              <w:tblCellMar>
                <w:top w:w="15" w:type="dxa"/>
                <w:left w:w="15" w:type="dxa"/>
                <w:bottom w:w="15" w:type="dxa"/>
                <w:right w:w="15" w:type="dxa"/>
              </w:tblCellMar>
              <w:tblLook w:val="04A0" w:firstRow="1" w:lastRow="0" w:firstColumn="1" w:lastColumn="0" w:noHBand="0" w:noVBand="1"/>
            </w:tblPr>
            <w:tblGrid>
              <w:gridCol w:w="12585"/>
              <w:gridCol w:w="915"/>
            </w:tblGrid>
            <w:tr w:rsidR="000B4920" w:rsidRPr="000B4920" w14:paraId="171772E5" w14:textId="77777777" w:rsidTr="00577434">
              <w:tc>
                <w:tcPr>
                  <w:tcW w:w="0" w:type="auto"/>
                  <w:tcBorders>
                    <w:top w:val="single" w:sz="12" w:space="0" w:color="4EC2F5"/>
                    <w:left w:val="single" w:sz="12" w:space="0" w:color="4EC2F5"/>
                    <w:bottom w:val="single" w:sz="12" w:space="0" w:color="4EC2F5"/>
                    <w:right w:val="single" w:sz="12" w:space="0" w:color="4EC2F5"/>
                  </w:tcBorders>
                  <w:shd w:val="clear" w:color="auto" w:fill="FFFFFF"/>
                  <w:tcMar>
                    <w:top w:w="150" w:type="dxa"/>
                    <w:left w:w="150" w:type="dxa"/>
                    <w:bottom w:w="150" w:type="dxa"/>
                    <w:right w:w="150" w:type="dxa"/>
                  </w:tcMar>
                  <w:vAlign w:val="center"/>
                  <w:hideMark/>
                </w:tcPr>
                <w:p w14:paraId="7B52E04D" w14:textId="77777777" w:rsidR="00015E6F" w:rsidRPr="000B4920" w:rsidRDefault="00577434" w:rsidP="00577434">
                  <w:pPr>
                    <w:spacing w:after="0" w:line="240" w:lineRule="auto"/>
                    <w:rPr>
                      <w:rFonts w:ascii="Arial" w:eastAsia="Times New Roman" w:hAnsi="Arial" w:cs="Arial"/>
                      <w:i/>
                      <w:iCs/>
                      <w:sz w:val="24"/>
                      <w:szCs w:val="24"/>
                    </w:rPr>
                  </w:pPr>
                  <w:r w:rsidRPr="000B4920">
                    <w:rPr>
                      <w:rFonts w:ascii="Arial" w:eastAsia="Times New Roman" w:hAnsi="Arial" w:cs="Arial"/>
                      <w:i/>
                      <w:iCs/>
                      <w:sz w:val="24"/>
                      <w:szCs w:val="24"/>
                    </w:rPr>
                    <w:t xml:space="preserve">Requires a qualified secretary and at </w:t>
                  </w:r>
                </w:p>
                <w:p w14:paraId="3A8F963C" w14:textId="77777777" w:rsidR="00015E6F" w:rsidRPr="000B4920" w:rsidRDefault="00577434" w:rsidP="00577434">
                  <w:pPr>
                    <w:spacing w:after="0" w:line="240" w:lineRule="auto"/>
                    <w:rPr>
                      <w:rFonts w:ascii="Arial" w:eastAsia="Times New Roman" w:hAnsi="Arial" w:cs="Arial"/>
                      <w:i/>
                      <w:iCs/>
                      <w:sz w:val="24"/>
                      <w:szCs w:val="24"/>
                    </w:rPr>
                  </w:pPr>
                  <w:r w:rsidRPr="000B4920">
                    <w:rPr>
                      <w:rFonts w:ascii="Arial" w:eastAsia="Times New Roman" w:hAnsi="Arial" w:cs="Arial"/>
                      <w:i/>
                      <w:iCs/>
                      <w:sz w:val="24"/>
                      <w:szCs w:val="24"/>
                    </w:rPr>
                    <w:t xml:space="preserve">least two directors, who are all </w:t>
                  </w:r>
                </w:p>
                <w:p w14:paraId="09AEB15F" w14:textId="3573E7C7" w:rsidR="00577434" w:rsidRPr="000B4920" w:rsidRDefault="00577434" w:rsidP="00577434">
                  <w:pPr>
                    <w:spacing w:after="0" w:line="240" w:lineRule="auto"/>
                    <w:rPr>
                      <w:rFonts w:ascii="Arial" w:eastAsia="Times New Roman" w:hAnsi="Arial" w:cs="Arial"/>
                      <w:i/>
                      <w:iCs/>
                      <w:sz w:val="24"/>
                      <w:szCs w:val="24"/>
                    </w:rPr>
                  </w:pPr>
                  <w:r w:rsidRPr="000B4920">
                    <w:rPr>
                      <w:rFonts w:ascii="Arial" w:eastAsia="Times New Roman" w:hAnsi="Arial" w:cs="Arial"/>
                      <w:i/>
                      <w:iCs/>
                      <w:sz w:val="24"/>
                      <w:szCs w:val="24"/>
                    </w:rPr>
                    <w:t>different people.</w:t>
                  </w:r>
                </w:p>
              </w:tc>
              <w:tc>
                <w:tcPr>
                  <w:tcW w:w="0" w:type="auto"/>
                  <w:tcBorders>
                    <w:top w:val="single" w:sz="12" w:space="0" w:color="4EC2F5"/>
                    <w:left w:val="single" w:sz="12" w:space="0" w:color="4EC2F5"/>
                    <w:bottom w:val="single" w:sz="12" w:space="0" w:color="4EC2F5"/>
                    <w:right w:val="single" w:sz="12" w:space="0" w:color="4EC2F5"/>
                  </w:tcBorders>
                  <w:shd w:val="clear" w:color="auto" w:fill="FFFFFF"/>
                  <w:tcMar>
                    <w:top w:w="150" w:type="dxa"/>
                    <w:left w:w="150" w:type="dxa"/>
                    <w:bottom w:w="150" w:type="dxa"/>
                    <w:right w:w="150" w:type="dxa"/>
                  </w:tcMar>
                  <w:vAlign w:val="center"/>
                  <w:hideMark/>
                </w:tcPr>
                <w:p w14:paraId="0DD748FB" w14:textId="77777777" w:rsidR="00577434" w:rsidRPr="000B4920" w:rsidRDefault="00577434" w:rsidP="00577434">
                  <w:pPr>
                    <w:spacing w:after="0" w:line="240" w:lineRule="auto"/>
                    <w:rPr>
                      <w:rFonts w:ascii="Arial" w:eastAsia="Times New Roman" w:hAnsi="Arial" w:cs="Arial"/>
                      <w:i/>
                      <w:iCs/>
                      <w:sz w:val="24"/>
                      <w:szCs w:val="24"/>
                    </w:rPr>
                  </w:pPr>
                </w:p>
              </w:tc>
            </w:tr>
          </w:tbl>
          <w:p w14:paraId="5643A2ED" w14:textId="77777777" w:rsidR="008C632F" w:rsidRPr="000B4920" w:rsidRDefault="008C632F" w:rsidP="004635D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i/>
                <w:iCs/>
                <w:sz w:val="24"/>
                <w:szCs w:val="24"/>
              </w:rPr>
            </w:pPr>
          </w:p>
          <w:p w14:paraId="34BFDBC5" w14:textId="77777777" w:rsidR="00F56EBB" w:rsidRPr="000B4920" w:rsidRDefault="00F56EBB" w:rsidP="00F56EBB">
            <w:pPr>
              <w:cnfStyle w:val="000000100000" w:firstRow="0" w:lastRow="0" w:firstColumn="0" w:lastColumn="0" w:oddVBand="0" w:evenVBand="0" w:oddHBand="1" w:evenHBand="0" w:firstRowFirstColumn="0" w:firstRowLastColumn="0" w:lastRowFirstColumn="0" w:lastRowLastColumn="0"/>
              <w:rPr>
                <w:rFonts w:ascii="Arial" w:hAnsi="Arial" w:cs="Arial"/>
                <w:i/>
                <w:iCs/>
                <w:sz w:val="24"/>
                <w:szCs w:val="24"/>
              </w:rPr>
            </w:pPr>
          </w:p>
          <w:p w14:paraId="3620F225" w14:textId="77777777" w:rsidR="00F56EBB" w:rsidRPr="000B4920" w:rsidRDefault="00F56EBB" w:rsidP="00F56EBB">
            <w:pPr>
              <w:cnfStyle w:val="000000100000" w:firstRow="0" w:lastRow="0" w:firstColumn="0" w:lastColumn="0" w:oddVBand="0" w:evenVBand="0" w:oddHBand="1" w:evenHBand="0" w:firstRowFirstColumn="0" w:firstRowLastColumn="0" w:lastRowFirstColumn="0" w:lastRowLastColumn="0"/>
              <w:rPr>
                <w:rFonts w:ascii="Arial" w:hAnsi="Arial" w:cs="Arial"/>
                <w:i/>
                <w:iCs/>
                <w:sz w:val="24"/>
                <w:szCs w:val="24"/>
              </w:rPr>
            </w:pPr>
          </w:p>
          <w:p w14:paraId="39F64266" w14:textId="4CDCB7B0" w:rsidR="00F56EBB" w:rsidRPr="000B4920" w:rsidRDefault="00F56EBB" w:rsidP="00F56EBB">
            <w:pPr>
              <w:jc w:val="center"/>
              <w:cnfStyle w:val="000000100000" w:firstRow="0" w:lastRow="0" w:firstColumn="0" w:lastColumn="0" w:oddVBand="0" w:evenVBand="0" w:oddHBand="1" w:evenHBand="0" w:firstRowFirstColumn="0" w:firstRowLastColumn="0" w:lastRowFirstColumn="0" w:lastRowLastColumn="0"/>
              <w:rPr>
                <w:i/>
                <w:iCs/>
              </w:rPr>
            </w:pPr>
            <w:r w:rsidRPr="000B4920">
              <w:rPr>
                <w:i/>
                <w:iCs/>
              </w:rPr>
              <w:t xml:space="preserve"> </w:t>
            </w:r>
          </w:p>
        </w:tc>
      </w:tr>
    </w:tbl>
    <w:p w14:paraId="5695DDD2" w14:textId="77777777" w:rsidR="004635DE" w:rsidRPr="00495A67" w:rsidRDefault="004635DE" w:rsidP="004635DE">
      <w:pPr>
        <w:pStyle w:val="ListParagraph"/>
        <w:ind w:left="360"/>
        <w:rPr>
          <w:rFonts w:ascii="Arial" w:hAnsi="Arial" w:cs="Arial"/>
          <w:sz w:val="24"/>
          <w:szCs w:val="24"/>
        </w:rPr>
      </w:pPr>
    </w:p>
    <w:p w14:paraId="6B7554AC" w14:textId="77777777" w:rsidR="00A20732" w:rsidRPr="00495A67" w:rsidRDefault="00A20732" w:rsidP="004635DE">
      <w:pPr>
        <w:pStyle w:val="ListParagraph"/>
        <w:ind w:left="360"/>
        <w:rPr>
          <w:rFonts w:ascii="Arial" w:hAnsi="Arial" w:cs="Arial"/>
          <w:sz w:val="24"/>
          <w:szCs w:val="24"/>
        </w:rPr>
      </w:pPr>
    </w:p>
    <w:p w14:paraId="391A88B3" w14:textId="605C5BE7" w:rsidR="00A20732" w:rsidRPr="00495A67" w:rsidRDefault="00C8451D" w:rsidP="00A20732">
      <w:pPr>
        <w:pStyle w:val="ListParagraph"/>
        <w:numPr>
          <w:ilvl w:val="0"/>
          <w:numId w:val="7"/>
        </w:numPr>
        <w:rPr>
          <w:rFonts w:ascii="Arial" w:hAnsi="Arial" w:cs="Arial"/>
          <w:sz w:val="24"/>
          <w:szCs w:val="24"/>
        </w:rPr>
      </w:pPr>
      <w:r w:rsidRPr="00495A67">
        <w:rPr>
          <w:rFonts w:ascii="Arial" w:hAnsi="Arial" w:cs="Arial"/>
          <w:color w:val="202124"/>
          <w:sz w:val="24"/>
          <w:szCs w:val="24"/>
          <w:shd w:val="clear" w:color="auto" w:fill="FFFFFF"/>
        </w:rPr>
        <w:t>Pros of p</w:t>
      </w:r>
      <w:r w:rsidR="00E1536A" w:rsidRPr="00495A67">
        <w:rPr>
          <w:rFonts w:ascii="Arial" w:hAnsi="Arial" w:cs="Arial"/>
          <w:color w:val="202124"/>
          <w:sz w:val="24"/>
          <w:szCs w:val="24"/>
          <w:shd w:val="clear" w:color="auto" w:fill="FFFFFF"/>
        </w:rPr>
        <w:t>roprieto</w:t>
      </w:r>
      <w:r w:rsidRPr="00495A67">
        <w:rPr>
          <w:rFonts w:ascii="Arial" w:hAnsi="Arial" w:cs="Arial"/>
          <w:color w:val="202124"/>
          <w:sz w:val="24"/>
          <w:szCs w:val="24"/>
          <w:shd w:val="clear" w:color="auto" w:fill="FFFFFF"/>
        </w:rPr>
        <w:t>rship</w:t>
      </w:r>
      <w:r w:rsidR="00E1536A" w:rsidRPr="00495A67">
        <w:rPr>
          <w:rFonts w:ascii="Arial" w:hAnsi="Arial" w:cs="Arial"/>
          <w:color w:val="202124"/>
          <w:sz w:val="24"/>
          <w:szCs w:val="24"/>
          <w:shd w:val="clear" w:color="auto" w:fill="FFFFFF"/>
        </w:rPr>
        <w:t>:</w:t>
      </w:r>
    </w:p>
    <w:p w14:paraId="4987AEEE" w14:textId="2624A503" w:rsidR="00C21528" w:rsidRDefault="00C21528" w:rsidP="00C21528">
      <w:pPr>
        <w:pStyle w:val="ListParagraph"/>
        <w:numPr>
          <w:ilvl w:val="1"/>
          <w:numId w:val="7"/>
        </w:numPr>
        <w:shd w:val="clear" w:color="auto" w:fill="FFFFFF"/>
        <w:spacing w:after="0" w:line="300" w:lineRule="atLeast"/>
        <w:rPr>
          <w:rFonts w:ascii="Arial" w:eastAsia="Times New Roman" w:hAnsi="Arial" w:cs="Arial"/>
          <w:color w:val="202124"/>
          <w:sz w:val="24"/>
          <w:szCs w:val="24"/>
        </w:rPr>
      </w:pPr>
      <w:r w:rsidRPr="00495A67">
        <w:rPr>
          <w:rFonts w:ascii="Arial" w:eastAsia="Times New Roman" w:hAnsi="Arial" w:cs="Arial"/>
          <w:color w:val="202124"/>
          <w:sz w:val="24"/>
          <w:szCs w:val="24"/>
        </w:rPr>
        <w:t>Easy to Establish - A sole proprietorship business does not have any specific registration requirements and the proprietor’s legal identity is used by the business. Hence, a proprietorship can be started without any registration.</w:t>
      </w:r>
    </w:p>
    <w:p w14:paraId="66DB1C5C" w14:textId="7EDBDF11" w:rsidR="00DD79E3" w:rsidRPr="00495A67" w:rsidRDefault="00DD79E3" w:rsidP="00C21528">
      <w:pPr>
        <w:pStyle w:val="ListParagraph"/>
        <w:numPr>
          <w:ilvl w:val="1"/>
          <w:numId w:val="7"/>
        </w:numPr>
        <w:shd w:val="clear" w:color="auto" w:fill="FFFFFF"/>
        <w:spacing w:after="0" w:line="300" w:lineRule="atLeast"/>
        <w:rPr>
          <w:rFonts w:ascii="Arial" w:eastAsia="Times New Roman" w:hAnsi="Arial" w:cs="Arial"/>
          <w:color w:val="202124"/>
          <w:sz w:val="24"/>
          <w:szCs w:val="24"/>
        </w:rPr>
      </w:pPr>
      <w:r w:rsidRPr="00495A67">
        <w:rPr>
          <w:rFonts w:ascii="Arial" w:hAnsi="Arial" w:cs="Arial"/>
          <w:color w:val="202124"/>
          <w:sz w:val="24"/>
          <w:szCs w:val="24"/>
          <w:shd w:val="clear" w:color="auto" w:fill="FFFFFF"/>
        </w:rPr>
        <w:t>Privacy - Since sole proprietorships are an unregistered form of entity, there is no database maintained by the Government with a list of all proprietorships.</w:t>
      </w:r>
    </w:p>
    <w:p w14:paraId="7B7E43EC" w14:textId="6734F406" w:rsidR="00C21528" w:rsidRPr="00495A67" w:rsidRDefault="00C21528" w:rsidP="00C21528">
      <w:pPr>
        <w:pStyle w:val="ListParagraph"/>
        <w:numPr>
          <w:ilvl w:val="1"/>
          <w:numId w:val="7"/>
        </w:numPr>
        <w:shd w:val="clear" w:color="auto" w:fill="FFFFFF"/>
        <w:spacing w:after="0" w:line="300" w:lineRule="atLeast"/>
        <w:rPr>
          <w:rFonts w:ascii="Arial" w:eastAsia="Times New Roman" w:hAnsi="Arial" w:cs="Arial"/>
          <w:color w:val="202124"/>
          <w:sz w:val="24"/>
          <w:szCs w:val="24"/>
        </w:rPr>
      </w:pPr>
      <w:r w:rsidRPr="00495A67">
        <w:rPr>
          <w:rFonts w:ascii="Arial" w:eastAsia="Times New Roman" w:hAnsi="Arial" w:cs="Arial"/>
          <w:color w:val="202124"/>
          <w:sz w:val="24"/>
          <w:szCs w:val="24"/>
        </w:rPr>
        <w:t>Easier to Operate - As a single person is at the helm of affairs, it is easier to operate as the particular person will be the sole decision maker and he need not consider a plethora of opinions.</w:t>
      </w:r>
    </w:p>
    <w:p w14:paraId="6B4D6B1D" w14:textId="1698A744" w:rsidR="00C21528" w:rsidRPr="00DD79E3" w:rsidRDefault="00C21528" w:rsidP="00DD79E3">
      <w:pPr>
        <w:shd w:val="clear" w:color="auto" w:fill="FFFFFF"/>
        <w:spacing w:after="0" w:line="300" w:lineRule="atLeast"/>
        <w:ind w:left="360"/>
        <w:rPr>
          <w:rFonts w:ascii="Arial" w:eastAsia="Times New Roman" w:hAnsi="Arial" w:cs="Arial"/>
          <w:color w:val="202124"/>
          <w:sz w:val="24"/>
          <w:szCs w:val="24"/>
        </w:rPr>
      </w:pPr>
    </w:p>
    <w:p w14:paraId="409EB449" w14:textId="45E6CAE9" w:rsidR="00C21528" w:rsidRPr="00495A67" w:rsidRDefault="00C21528" w:rsidP="00C21528">
      <w:pPr>
        <w:shd w:val="clear" w:color="auto" w:fill="FFFFFF"/>
        <w:spacing w:after="0" w:line="300" w:lineRule="atLeast"/>
        <w:ind w:left="360"/>
        <w:rPr>
          <w:rFonts w:ascii="Arial" w:eastAsia="Times New Roman" w:hAnsi="Arial" w:cs="Arial"/>
          <w:color w:val="202124"/>
          <w:sz w:val="24"/>
          <w:szCs w:val="24"/>
        </w:rPr>
      </w:pPr>
      <w:r w:rsidRPr="00495A67">
        <w:rPr>
          <w:rFonts w:ascii="Arial" w:eastAsia="Times New Roman" w:hAnsi="Arial" w:cs="Arial"/>
          <w:color w:val="202124"/>
          <w:sz w:val="24"/>
          <w:szCs w:val="24"/>
        </w:rPr>
        <w:t>Cons of p</w:t>
      </w:r>
      <w:r w:rsidR="00E1536A" w:rsidRPr="00495A67">
        <w:rPr>
          <w:rFonts w:ascii="Arial" w:eastAsia="Times New Roman" w:hAnsi="Arial" w:cs="Arial"/>
          <w:color w:val="202124"/>
          <w:sz w:val="24"/>
          <w:szCs w:val="24"/>
        </w:rPr>
        <w:t>roprietor</w:t>
      </w:r>
      <w:r w:rsidRPr="00495A67">
        <w:rPr>
          <w:rFonts w:ascii="Arial" w:eastAsia="Times New Roman" w:hAnsi="Arial" w:cs="Arial"/>
          <w:color w:val="202124"/>
          <w:sz w:val="24"/>
          <w:szCs w:val="24"/>
        </w:rPr>
        <w:t>ship</w:t>
      </w:r>
      <w:r w:rsidR="00E1536A" w:rsidRPr="00495A67">
        <w:rPr>
          <w:rFonts w:ascii="Arial" w:eastAsia="Times New Roman" w:hAnsi="Arial" w:cs="Arial"/>
          <w:color w:val="202124"/>
          <w:sz w:val="24"/>
          <w:szCs w:val="24"/>
        </w:rPr>
        <w:t>:</w:t>
      </w:r>
    </w:p>
    <w:p w14:paraId="454B3D0F" w14:textId="6FF8975E" w:rsidR="00C21528" w:rsidRPr="00495A67" w:rsidRDefault="00C21528" w:rsidP="00C21528">
      <w:pPr>
        <w:pStyle w:val="ListParagraph"/>
        <w:numPr>
          <w:ilvl w:val="1"/>
          <w:numId w:val="10"/>
        </w:numPr>
        <w:shd w:val="clear" w:color="auto" w:fill="FFFFFF"/>
        <w:spacing w:after="0" w:line="300" w:lineRule="atLeast"/>
        <w:rPr>
          <w:rFonts w:ascii="Arial" w:eastAsia="Times New Roman" w:hAnsi="Arial" w:cs="Arial"/>
          <w:color w:val="202124"/>
          <w:sz w:val="24"/>
          <w:szCs w:val="24"/>
        </w:rPr>
      </w:pPr>
      <w:r w:rsidRPr="00495A67">
        <w:rPr>
          <w:rFonts w:ascii="Arial" w:eastAsia="Times New Roman" w:hAnsi="Arial" w:cs="Arial"/>
          <w:color w:val="202124"/>
          <w:sz w:val="24"/>
          <w:szCs w:val="24"/>
        </w:rPr>
        <w:t xml:space="preserve">Unlimited Liability – This is one of the most disturbing aspects of a sole proprietorship firm. On the occurrence of a loss, the proprietor must meet the liabilities at any cost, which </w:t>
      </w:r>
      <w:r w:rsidR="00DD79E3">
        <w:rPr>
          <w:rFonts w:ascii="Arial" w:eastAsia="Times New Roman" w:hAnsi="Arial" w:cs="Arial"/>
          <w:color w:val="202124"/>
          <w:sz w:val="24"/>
          <w:szCs w:val="24"/>
        </w:rPr>
        <w:t>states</w:t>
      </w:r>
      <w:r w:rsidRPr="00495A67">
        <w:rPr>
          <w:rFonts w:ascii="Arial" w:eastAsia="Times New Roman" w:hAnsi="Arial" w:cs="Arial"/>
          <w:color w:val="202124"/>
          <w:sz w:val="24"/>
          <w:szCs w:val="24"/>
        </w:rPr>
        <w:t xml:space="preserve"> that if the need occurs, his/her personal assets may have to be used for discharging the liabilities. </w:t>
      </w:r>
    </w:p>
    <w:p w14:paraId="167A5879" w14:textId="10AC978A" w:rsidR="004A76C1" w:rsidRPr="00495A67" w:rsidRDefault="00C21528" w:rsidP="004A76C1">
      <w:pPr>
        <w:pStyle w:val="ListParagraph"/>
        <w:numPr>
          <w:ilvl w:val="1"/>
          <w:numId w:val="10"/>
        </w:numPr>
        <w:shd w:val="clear" w:color="auto" w:fill="FFFFFF"/>
        <w:spacing w:after="0" w:line="300" w:lineRule="atLeast"/>
        <w:rPr>
          <w:rFonts w:ascii="Arial" w:eastAsia="Times New Roman" w:hAnsi="Arial" w:cs="Arial"/>
          <w:color w:val="202124"/>
          <w:sz w:val="24"/>
          <w:szCs w:val="24"/>
        </w:rPr>
      </w:pPr>
      <w:r w:rsidRPr="00495A67">
        <w:rPr>
          <w:rFonts w:ascii="Arial" w:eastAsia="Times New Roman" w:hAnsi="Arial" w:cs="Arial"/>
          <w:color w:val="202124"/>
          <w:sz w:val="24"/>
          <w:szCs w:val="24"/>
        </w:rPr>
        <w:lastRenderedPageBreak/>
        <w:t>Difficulty in Obtaining Funds - A sole proprietor cannot indulge in sale of business interest or shares, which deprives the entity from the receipt of any type of equity funding</w:t>
      </w:r>
      <w:r w:rsidR="00C8451D" w:rsidRPr="00495A67">
        <w:rPr>
          <w:rFonts w:ascii="Arial" w:eastAsia="Times New Roman" w:hAnsi="Arial" w:cs="Arial"/>
          <w:color w:val="202124"/>
          <w:sz w:val="24"/>
          <w:szCs w:val="24"/>
        </w:rPr>
        <w:t>.</w:t>
      </w:r>
    </w:p>
    <w:p w14:paraId="63179B71" w14:textId="77777777" w:rsidR="00A20732" w:rsidRPr="00495A67" w:rsidRDefault="00A20732" w:rsidP="00A20732">
      <w:pPr>
        <w:pStyle w:val="ListParagraph"/>
        <w:shd w:val="clear" w:color="auto" w:fill="FFFFFF"/>
        <w:spacing w:after="0" w:line="300" w:lineRule="atLeast"/>
        <w:rPr>
          <w:rFonts w:ascii="Arial" w:eastAsia="Times New Roman" w:hAnsi="Arial" w:cs="Arial"/>
          <w:color w:val="202124"/>
          <w:sz w:val="24"/>
          <w:szCs w:val="24"/>
        </w:rPr>
      </w:pPr>
    </w:p>
    <w:p w14:paraId="357F8708" w14:textId="344720A8" w:rsidR="00AB409B" w:rsidRPr="00495A67" w:rsidRDefault="00AB409B" w:rsidP="00CF3BC8">
      <w:pPr>
        <w:pStyle w:val="ListParagraph"/>
        <w:numPr>
          <w:ilvl w:val="0"/>
          <w:numId w:val="7"/>
        </w:numPr>
        <w:shd w:val="clear" w:color="auto" w:fill="FFFFFF"/>
        <w:spacing w:after="0" w:line="300" w:lineRule="atLeast"/>
        <w:rPr>
          <w:rFonts w:ascii="Arial" w:eastAsia="Times New Roman" w:hAnsi="Arial" w:cs="Arial"/>
          <w:color w:val="202124"/>
          <w:sz w:val="24"/>
          <w:szCs w:val="24"/>
        </w:rPr>
      </w:pPr>
      <w:r w:rsidRPr="00495A67">
        <w:rPr>
          <w:rFonts w:ascii="Arial" w:eastAsia="Times New Roman" w:hAnsi="Arial" w:cs="Arial"/>
          <w:color w:val="202124"/>
          <w:sz w:val="24"/>
          <w:szCs w:val="24"/>
        </w:rPr>
        <w:t>Suitable methods for Delta corp. to raise short term funds for working capital needs</w:t>
      </w:r>
      <w:r w:rsidR="009E5C4C" w:rsidRPr="00495A67">
        <w:rPr>
          <w:rFonts w:ascii="Arial" w:eastAsia="Times New Roman" w:hAnsi="Arial" w:cs="Arial"/>
          <w:color w:val="202124"/>
          <w:sz w:val="24"/>
          <w:szCs w:val="24"/>
        </w:rPr>
        <w:t xml:space="preserve"> are:</w:t>
      </w:r>
    </w:p>
    <w:p w14:paraId="6CD2ADE0" w14:textId="77777777" w:rsidR="009E5C4C" w:rsidRPr="00495A67" w:rsidRDefault="00AB409B" w:rsidP="009E5C4C">
      <w:pPr>
        <w:pStyle w:val="ListParagraph"/>
        <w:numPr>
          <w:ilvl w:val="1"/>
          <w:numId w:val="18"/>
        </w:numPr>
        <w:shd w:val="clear" w:color="auto" w:fill="FFFFFF"/>
        <w:spacing w:after="0" w:line="300" w:lineRule="atLeast"/>
        <w:rPr>
          <w:rFonts w:ascii="Arial" w:hAnsi="Arial" w:cs="Arial"/>
          <w:color w:val="202124"/>
          <w:sz w:val="24"/>
          <w:szCs w:val="24"/>
          <w:shd w:val="clear" w:color="auto" w:fill="FFFFFF"/>
        </w:rPr>
      </w:pPr>
      <w:r w:rsidRPr="00495A67">
        <w:rPr>
          <w:rFonts w:ascii="Arial" w:hAnsi="Arial" w:cs="Arial"/>
          <w:color w:val="202124"/>
          <w:sz w:val="24"/>
          <w:szCs w:val="24"/>
          <w:shd w:val="clear" w:color="auto" w:fill="FFFFFF"/>
        </w:rPr>
        <w:t xml:space="preserve">bank overdrafts </w:t>
      </w:r>
    </w:p>
    <w:p w14:paraId="1032CDF1" w14:textId="3093EA3A" w:rsidR="00DD79E3" w:rsidRDefault="00AB409B" w:rsidP="009E5C4C">
      <w:pPr>
        <w:pStyle w:val="ListParagraph"/>
        <w:numPr>
          <w:ilvl w:val="1"/>
          <w:numId w:val="18"/>
        </w:numPr>
        <w:shd w:val="clear" w:color="auto" w:fill="FFFFFF"/>
        <w:spacing w:after="0" w:line="300" w:lineRule="atLeast"/>
        <w:rPr>
          <w:rFonts w:ascii="Arial" w:hAnsi="Arial" w:cs="Arial"/>
          <w:color w:val="202124"/>
          <w:sz w:val="24"/>
          <w:szCs w:val="24"/>
          <w:shd w:val="clear" w:color="auto" w:fill="FFFFFF"/>
        </w:rPr>
      </w:pPr>
      <w:r w:rsidRPr="00495A67">
        <w:rPr>
          <w:rFonts w:ascii="Arial" w:hAnsi="Arial" w:cs="Arial"/>
          <w:color w:val="202124"/>
          <w:sz w:val="24"/>
          <w:szCs w:val="24"/>
          <w:shd w:val="clear" w:color="auto" w:fill="FFFFFF"/>
        </w:rPr>
        <w:t>trade credit</w:t>
      </w:r>
    </w:p>
    <w:p w14:paraId="358D72AF" w14:textId="78C31294" w:rsidR="00DD79E3" w:rsidRDefault="00DD79E3" w:rsidP="009E5C4C">
      <w:pPr>
        <w:pStyle w:val="ListParagraph"/>
        <w:numPr>
          <w:ilvl w:val="1"/>
          <w:numId w:val="18"/>
        </w:numPr>
        <w:shd w:val="clear" w:color="auto" w:fill="FFFFFF"/>
        <w:spacing w:after="0" w:line="300" w:lineRule="atLeast"/>
        <w:rPr>
          <w:rFonts w:ascii="Arial" w:hAnsi="Arial" w:cs="Arial"/>
          <w:color w:val="202124"/>
          <w:sz w:val="24"/>
          <w:szCs w:val="24"/>
          <w:shd w:val="clear" w:color="auto" w:fill="FFFFFF"/>
        </w:rPr>
      </w:pPr>
      <w:r>
        <w:rPr>
          <w:rFonts w:ascii="Arial" w:hAnsi="Arial" w:cs="Arial"/>
          <w:color w:val="202124"/>
          <w:sz w:val="24"/>
          <w:szCs w:val="24"/>
          <w:shd w:val="clear" w:color="auto" w:fill="FFFFFF"/>
        </w:rPr>
        <w:t>bills of exchange</w:t>
      </w:r>
    </w:p>
    <w:p w14:paraId="568C47F7" w14:textId="53D1B0AC" w:rsidR="009E5C4C" w:rsidRPr="00495A67" w:rsidRDefault="00DD79E3" w:rsidP="009E5C4C">
      <w:pPr>
        <w:pStyle w:val="ListParagraph"/>
        <w:numPr>
          <w:ilvl w:val="1"/>
          <w:numId w:val="18"/>
        </w:numPr>
        <w:shd w:val="clear" w:color="auto" w:fill="FFFFFF"/>
        <w:spacing w:after="0" w:line="300" w:lineRule="atLeast"/>
        <w:rPr>
          <w:rFonts w:ascii="Arial" w:hAnsi="Arial" w:cs="Arial"/>
          <w:color w:val="202124"/>
          <w:sz w:val="24"/>
          <w:szCs w:val="24"/>
          <w:shd w:val="clear" w:color="auto" w:fill="FFFFFF"/>
        </w:rPr>
      </w:pPr>
      <w:r>
        <w:rPr>
          <w:rFonts w:ascii="Arial" w:hAnsi="Arial" w:cs="Arial"/>
          <w:color w:val="202124"/>
          <w:sz w:val="24"/>
          <w:szCs w:val="24"/>
          <w:shd w:val="clear" w:color="auto" w:fill="FFFFFF"/>
        </w:rPr>
        <w:t>commercial papers</w:t>
      </w:r>
      <w:r w:rsidR="00AB409B" w:rsidRPr="00495A67">
        <w:rPr>
          <w:rFonts w:ascii="Arial" w:hAnsi="Arial" w:cs="Arial"/>
          <w:color w:val="202124"/>
          <w:sz w:val="24"/>
          <w:szCs w:val="24"/>
          <w:shd w:val="clear" w:color="auto" w:fill="FFFFFF"/>
        </w:rPr>
        <w:t xml:space="preserve"> </w:t>
      </w:r>
    </w:p>
    <w:p w14:paraId="5F242114" w14:textId="77777777" w:rsidR="009E5C4C" w:rsidRPr="00495A67" w:rsidRDefault="00AB409B" w:rsidP="009E5C4C">
      <w:pPr>
        <w:pStyle w:val="ListParagraph"/>
        <w:numPr>
          <w:ilvl w:val="1"/>
          <w:numId w:val="18"/>
        </w:numPr>
        <w:shd w:val="clear" w:color="auto" w:fill="FFFFFF"/>
        <w:spacing w:after="0" w:line="300" w:lineRule="atLeast"/>
        <w:rPr>
          <w:rFonts w:ascii="Arial" w:hAnsi="Arial" w:cs="Arial"/>
          <w:color w:val="202124"/>
          <w:sz w:val="24"/>
          <w:szCs w:val="24"/>
          <w:shd w:val="clear" w:color="auto" w:fill="FFFFFF"/>
        </w:rPr>
      </w:pPr>
      <w:r w:rsidRPr="00495A67">
        <w:rPr>
          <w:rFonts w:ascii="Arial" w:hAnsi="Arial" w:cs="Arial"/>
          <w:color w:val="202124"/>
          <w:sz w:val="24"/>
          <w:szCs w:val="24"/>
          <w:shd w:val="clear" w:color="auto" w:fill="FFFFFF"/>
        </w:rPr>
        <w:t xml:space="preserve">factoring </w:t>
      </w:r>
    </w:p>
    <w:p w14:paraId="34F643B5" w14:textId="4209331F" w:rsidR="009E5C4C" w:rsidRPr="00DD79E3" w:rsidRDefault="009E5C4C" w:rsidP="00DD79E3">
      <w:pPr>
        <w:shd w:val="clear" w:color="auto" w:fill="FFFFFF"/>
        <w:spacing w:after="0" w:line="300" w:lineRule="atLeast"/>
        <w:ind w:left="360"/>
        <w:rPr>
          <w:rFonts w:ascii="Arial" w:hAnsi="Arial" w:cs="Arial"/>
          <w:color w:val="202124"/>
          <w:sz w:val="24"/>
          <w:szCs w:val="24"/>
          <w:shd w:val="clear" w:color="auto" w:fill="FFFFFF"/>
        </w:rPr>
      </w:pPr>
    </w:p>
    <w:p w14:paraId="161AC983" w14:textId="21DF2402" w:rsidR="00AB409B" w:rsidRPr="00495A67" w:rsidRDefault="00AB409B" w:rsidP="00DD79E3">
      <w:pPr>
        <w:pStyle w:val="ListParagraph"/>
        <w:shd w:val="clear" w:color="auto" w:fill="FFFFFF"/>
        <w:spacing w:after="0" w:line="300" w:lineRule="atLeast"/>
        <w:rPr>
          <w:rFonts w:ascii="Arial" w:hAnsi="Arial" w:cs="Arial"/>
          <w:color w:val="202124"/>
          <w:sz w:val="24"/>
          <w:szCs w:val="24"/>
          <w:shd w:val="clear" w:color="auto" w:fill="FFFFFF"/>
        </w:rPr>
      </w:pPr>
    </w:p>
    <w:p w14:paraId="45D5EE73" w14:textId="77777777" w:rsidR="00A20732" w:rsidRPr="00495A67" w:rsidRDefault="00A20732" w:rsidP="00A20732">
      <w:pPr>
        <w:pStyle w:val="ListParagraph"/>
        <w:shd w:val="clear" w:color="auto" w:fill="FFFFFF"/>
        <w:spacing w:after="0" w:line="300" w:lineRule="atLeast"/>
        <w:rPr>
          <w:rFonts w:ascii="Arial" w:hAnsi="Arial" w:cs="Arial"/>
          <w:color w:val="202124"/>
          <w:sz w:val="24"/>
          <w:szCs w:val="24"/>
          <w:shd w:val="clear" w:color="auto" w:fill="FFFFFF"/>
        </w:rPr>
      </w:pPr>
    </w:p>
    <w:p w14:paraId="321E3917" w14:textId="4653C0DD" w:rsidR="00C21528" w:rsidRPr="00495A67" w:rsidRDefault="00CF3BC8" w:rsidP="00CF3BC8">
      <w:pPr>
        <w:pStyle w:val="ListParagraph"/>
        <w:numPr>
          <w:ilvl w:val="0"/>
          <w:numId w:val="7"/>
        </w:numPr>
        <w:shd w:val="clear" w:color="auto" w:fill="FFFFFF"/>
        <w:spacing w:after="0" w:line="300" w:lineRule="atLeast"/>
        <w:rPr>
          <w:rFonts w:ascii="Arial" w:eastAsia="Times New Roman" w:hAnsi="Arial" w:cs="Arial"/>
          <w:color w:val="202124"/>
          <w:sz w:val="24"/>
          <w:szCs w:val="24"/>
        </w:rPr>
      </w:pPr>
      <w:r w:rsidRPr="00495A67">
        <w:rPr>
          <w:rFonts w:ascii="Arial" w:hAnsi="Arial" w:cs="Arial"/>
          <w:color w:val="202124"/>
          <w:sz w:val="24"/>
          <w:szCs w:val="24"/>
          <w:shd w:val="clear" w:color="auto" w:fill="FFFFFF"/>
        </w:rPr>
        <w:t xml:space="preserve">Operating Lease - </w:t>
      </w:r>
      <w:r w:rsidR="004A76C1" w:rsidRPr="00495A67">
        <w:rPr>
          <w:rFonts w:ascii="Arial" w:hAnsi="Arial" w:cs="Arial"/>
          <w:color w:val="202124"/>
          <w:sz w:val="24"/>
          <w:szCs w:val="24"/>
          <w:shd w:val="clear" w:color="auto" w:fill="FFFFFF"/>
        </w:rPr>
        <w:t>An operating lease is a contract that permits the use of an asset without transferring the ownership rights of said asset</w:t>
      </w:r>
      <w:r w:rsidRPr="00495A67">
        <w:rPr>
          <w:rFonts w:ascii="Arial" w:hAnsi="Arial" w:cs="Arial"/>
          <w:color w:val="202124"/>
          <w:sz w:val="24"/>
          <w:szCs w:val="24"/>
          <w:shd w:val="clear" w:color="auto" w:fill="FFFFFF"/>
        </w:rPr>
        <w:t>.</w:t>
      </w:r>
    </w:p>
    <w:p w14:paraId="2D298515" w14:textId="52675141" w:rsidR="001C1259" w:rsidRPr="00495A67" w:rsidRDefault="00CF3BC8" w:rsidP="001C1259">
      <w:pPr>
        <w:pStyle w:val="ListParagraph"/>
        <w:shd w:val="clear" w:color="auto" w:fill="FFFFFF"/>
        <w:spacing w:after="0" w:line="300" w:lineRule="atLeast"/>
        <w:ind w:left="360"/>
        <w:rPr>
          <w:rFonts w:ascii="Arial" w:hAnsi="Arial" w:cs="Arial"/>
          <w:color w:val="202122"/>
          <w:sz w:val="24"/>
          <w:szCs w:val="24"/>
          <w:shd w:val="clear" w:color="auto" w:fill="FFFFFF"/>
        </w:rPr>
      </w:pPr>
      <w:r w:rsidRPr="00495A67">
        <w:rPr>
          <w:rFonts w:ascii="Arial" w:hAnsi="Arial" w:cs="Arial"/>
          <w:color w:val="202124"/>
          <w:sz w:val="24"/>
          <w:szCs w:val="24"/>
          <w:shd w:val="clear" w:color="auto" w:fill="FFFFFF"/>
        </w:rPr>
        <w:t xml:space="preserve">Financial Lease - </w:t>
      </w:r>
      <w:r w:rsidRPr="00495A67">
        <w:rPr>
          <w:rFonts w:ascii="Arial" w:hAnsi="Arial" w:cs="Arial"/>
          <w:color w:val="202122"/>
          <w:sz w:val="24"/>
          <w:szCs w:val="24"/>
          <w:shd w:val="clear" w:color="auto" w:fill="FFFFFF"/>
        </w:rPr>
        <w:t>A finance</w:t>
      </w:r>
      <w:r w:rsidRPr="00495A67">
        <w:rPr>
          <w:rFonts w:ascii="Arial" w:hAnsi="Arial" w:cs="Arial"/>
          <w:b/>
          <w:bCs/>
          <w:color w:val="202122"/>
          <w:sz w:val="24"/>
          <w:szCs w:val="24"/>
          <w:shd w:val="clear" w:color="auto" w:fill="FFFFFF"/>
        </w:rPr>
        <w:t xml:space="preserve"> </w:t>
      </w:r>
      <w:r w:rsidRPr="00495A67">
        <w:rPr>
          <w:rFonts w:ascii="Arial" w:hAnsi="Arial" w:cs="Arial"/>
          <w:color w:val="202122"/>
          <w:sz w:val="24"/>
          <w:szCs w:val="24"/>
          <w:shd w:val="clear" w:color="auto" w:fill="FFFFFF"/>
        </w:rPr>
        <w:t>lease is a type of lease in which a financial company is typically the legal owner of the asset for the duration of the lease, while the lessee not only has operating</w:t>
      </w:r>
      <w:r w:rsidR="00AB409B" w:rsidRPr="00495A67">
        <w:rPr>
          <w:rFonts w:ascii="Arial" w:hAnsi="Arial" w:cs="Arial"/>
          <w:color w:val="202122"/>
          <w:sz w:val="24"/>
          <w:szCs w:val="24"/>
          <w:shd w:val="clear" w:color="auto" w:fill="FFFFFF"/>
        </w:rPr>
        <w:t xml:space="preserve"> </w:t>
      </w:r>
      <w:r w:rsidRPr="00495A67">
        <w:rPr>
          <w:rFonts w:ascii="Arial" w:hAnsi="Arial" w:cs="Arial"/>
          <w:color w:val="202122"/>
          <w:sz w:val="24"/>
          <w:szCs w:val="24"/>
          <w:shd w:val="clear" w:color="auto" w:fill="FFFFFF"/>
        </w:rPr>
        <w:t>control over the asset, but also some share of the economic risks and returns from the change in the valuation of the underlying asset</w:t>
      </w:r>
      <w:r w:rsidR="001C1259" w:rsidRPr="00495A67">
        <w:rPr>
          <w:rFonts w:ascii="Arial" w:hAnsi="Arial" w:cs="Arial"/>
          <w:color w:val="202122"/>
          <w:sz w:val="24"/>
          <w:szCs w:val="24"/>
          <w:shd w:val="clear" w:color="auto" w:fill="FFFFFF"/>
        </w:rPr>
        <w:t>.</w:t>
      </w:r>
    </w:p>
    <w:p w14:paraId="42908D12" w14:textId="77777777" w:rsidR="00A20732" w:rsidRPr="00495A67" w:rsidRDefault="00A20732" w:rsidP="001C1259">
      <w:pPr>
        <w:pStyle w:val="ListParagraph"/>
        <w:shd w:val="clear" w:color="auto" w:fill="FFFFFF"/>
        <w:spacing w:after="0" w:line="300" w:lineRule="atLeast"/>
        <w:ind w:left="360"/>
        <w:rPr>
          <w:rFonts w:ascii="Arial" w:hAnsi="Arial" w:cs="Arial"/>
          <w:color w:val="202122"/>
          <w:sz w:val="24"/>
          <w:szCs w:val="24"/>
          <w:shd w:val="clear" w:color="auto" w:fill="FFFFFF"/>
        </w:rPr>
      </w:pPr>
    </w:p>
    <w:p w14:paraId="2BA5984E" w14:textId="4B89A894" w:rsidR="001C1259" w:rsidRPr="00495A67" w:rsidRDefault="001C1259" w:rsidP="001C1259">
      <w:pPr>
        <w:pStyle w:val="ListParagraph"/>
        <w:numPr>
          <w:ilvl w:val="0"/>
          <w:numId w:val="7"/>
        </w:numPr>
        <w:shd w:val="clear" w:color="auto" w:fill="FFFFFF"/>
        <w:spacing w:after="0" w:line="300" w:lineRule="atLeast"/>
        <w:rPr>
          <w:rFonts w:ascii="Arial" w:hAnsi="Arial" w:cs="Arial"/>
          <w:color w:val="202122"/>
          <w:sz w:val="24"/>
          <w:szCs w:val="24"/>
          <w:shd w:val="clear" w:color="auto" w:fill="FFFFFF"/>
        </w:rPr>
      </w:pPr>
      <w:r w:rsidRPr="00495A67">
        <w:rPr>
          <w:rFonts w:ascii="Arial" w:hAnsi="Arial" w:cs="Arial"/>
          <w:color w:val="202122"/>
          <w:sz w:val="24"/>
          <w:szCs w:val="24"/>
          <w:shd w:val="clear" w:color="auto" w:fill="FFFFFF"/>
        </w:rPr>
        <w:t>Answers of the following are:</w:t>
      </w:r>
    </w:p>
    <w:p w14:paraId="60A50FD7" w14:textId="5EB6F36D" w:rsidR="001C1259" w:rsidRPr="00495A67" w:rsidRDefault="001C1259" w:rsidP="001C1259">
      <w:pPr>
        <w:pStyle w:val="ListParagraph"/>
        <w:numPr>
          <w:ilvl w:val="0"/>
          <w:numId w:val="21"/>
        </w:numPr>
        <w:shd w:val="clear" w:color="auto" w:fill="FFFFFF"/>
        <w:spacing w:after="0" w:line="300" w:lineRule="atLeast"/>
        <w:rPr>
          <w:rFonts w:ascii="Arial" w:hAnsi="Arial" w:cs="Arial"/>
          <w:color w:val="202122"/>
          <w:sz w:val="24"/>
          <w:szCs w:val="24"/>
          <w:shd w:val="clear" w:color="auto" w:fill="FFFFFF"/>
        </w:rPr>
      </w:pPr>
      <w:r w:rsidRPr="00495A67">
        <w:rPr>
          <w:rFonts w:ascii="Arial" w:hAnsi="Arial" w:cs="Arial"/>
          <w:color w:val="202122"/>
          <w:sz w:val="24"/>
          <w:szCs w:val="24"/>
          <w:shd w:val="clear" w:color="auto" w:fill="FFFFFF"/>
        </w:rPr>
        <w:t>A convertible is a bond with an option for the holder to exchange the bond into “new” shares of common stock of the issuing company under specified terms and conditions. These include the conversion period and the conversion ratio. </w:t>
      </w:r>
    </w:p>
    <w:p w14:paraId="01275CA0" w14:textId="17C9D6C0" w:rsidR="001C1259" w:rsidRPr="00495A67" w:rsidRDefault="001C1259" w:rsidP="001C1259">
      <w:pPr>
        <w:pStyle w:val="ListParagraph"/>
        <w:numPr>
          <w:ilvl w:val="0"/>
          <w:numId w:val="21"/>
        </w:numPr>
        <w:shd w:val="clear" w:color="auto" w:fill="FFFFFF"/>
        <w:spacing w:after="0" w:line="300" w:lineRule="atLeast"/>
        <w:rPr>
          <w:rFonts w:ascii="Arial" w:hAnsi="Arial" w:cs="Arial"/>
          <w:color w:val="202122"/>
          <w:sz w:val="24"/>
          <w:szCs w:val="24"/>
          <w:shd w:val="clear" w:color="auto" w:fill="FFFFFF"/>
        </w:rPr>
      </w:pPr>
      <w:r w:rsidRPr="00495A67">
        <w:rPr>
          <w:rFonts w:ascii="Arial" w:hAnsi="Arial" w:cs="Arial"/>
          <w:color w:val="202122"/>
          <w:sz w:val="24"/>
          <w:szCs w:val="24"/>
          <w:shd w:val="clear" w:color="auto" w:fill="FFFFFF"/>
        </w:rPr>
        <w:t>A warrant gives investors a right to buy an underlying security at a certain rate in the future. Convertibles, on the other hand, allow investors to convert their security into the common stock in the future. </w:t>
      </w:r>
    </w:p>
    <w:p w14:paraId="35404A42" w14:textId="432DA2E2" w:rsidR="001C1259" w:rsidRPr="00495A67" w:rsidRDefault="00255F06" w:rsidP="001C1259">
      <w:pPr>
        <w:pStyle w:val="ListParagraph"/>
        <w:numPr>
          <w:ilvl w:val="0"/>
          <w:numId w:val="21"/>
        </w:numPr>
        <w:shd w:val="clear" w:color="auto" w:fill="FFFFFF"/>
        <w:spacing w:after="0" w:line="300" w:lineRule="atLeast"/>
        <w:rPr>
          <w:rFonts w:ascii="Arial" w:hAnsi="Arial" w:cs="Arial"/>
          <w:color w:val="202122"/>
          <w:sz w:val="24"/>
          <w:szCs w:val="24"/>
          <w:shd w:val="clear" w:color="auto" w:fill="FFFFFF"/>
        </w:rPr>
      </w:pPr>
      <w:r w:rsidRPr="00495A67">
        <w:rPr>
          <w:rStyle w:val="termtext"/>
          <w:rFonts w:ascii="Arial" w:hAnsi="Arial" w:cs="Arial"/>
          <w:sz w:val="24"/>
          <w:szCs w:val="24"/>
        </w:rPr>
        <w:t>Convertible bonds allow investors to exchange the bonds for a stated number of shares of the firm's common stock. This conversion feature offers investors the potential for high returns if the price of the firm's common stock rises. Because of this feature, the bonds can be issued at a higher price.</w:t>
      </w:r>
    </w:p>
    <w:p w14:paraId="598679D3" w14:textId="6C4E1B2E" w:rsidR="001C1259" w:rsidRPr="00495A67" w:rsidRDefault="001C1259" w:rsidP="00036C8E">
      <w:pPr>
        <w:pStyle w:val="ListParagraph"/>
        <w:numPr>
          <w:ilvl w:val="0"/>
          <w:numId w:val="21"/>
        </w:numPr>
        <w:shd w:val="clear" w:color="auto" w:fill="FFFFFF"/>
        <w:spacing w:after="0" w:line="300" w:lineRule="atLeast"/>
        <w:rPr>
          <w:rFonts w:ascii="Arial" w:hAnsi="Arial" w:cs="Arial"/>
          <w:color w:val="202122"/>
          <w:sz w:val="24"/>
          <w:szCs w:val="24"/>
          <w:shd w:val="clear" w:color="auto" w:fill="FFFFFF"/>
        </w:rPr>
      </w:pPr>
      <w:r w:rsidRPr="00495A67">
        <w:rPr>
          <w:rFonts w:ascii="Arial" w:hAnsi="Arial" w:cs="Arial"/>
          <w:color w:val="202122"/>
          <w:sz w:val="24"/>
          <w:szCs w:val="24"/>
          <w:shd w:val="clear" w:color="auto" w:fill="FFFFFF"/>
        </w:rPr>
        <w:t>Like regular corporate bonds, convertibles pay income to investors. But unlike bonds, they have the potential to rise in price if the company’s stock performs well. The reason for this is simple: Since the convertible bond contains the option to be converted into stock, the rising price of the underlying stock increases the value of the convertible security.</w:t>
      </w:r>
      <w:r w:rsidR="004F0321" w:rsidRPr="00495A67">
        <w:rPr>
          <w:rFonts w:ascii="Arial" w:hAnsi="Arial" w:cs="Arial"/>
          <w:color w:val="202122"/>
          <w:sz w:val="24"/>
          <w:szCs w:val="24"/>
          <w:shd w:val="clear" w:color="auto" w:fill="FFFFFF"/>
        </w:rPr>
        <w:t xml:space="preserve"> </w:t>
      </w:r>
      <w:r w:rsidRPr="00495A67">
        <w:rPr>
          <w:rFonts w:ascii="Arial" w:hAnsi="Arial" w:cs="Arial"/>
          <w:color w:val="202122"/>
          <w:sz w:val="24"/>
          <w:szCs w:val="24"/>
          <w:shd w:val="clear" w:color="auto" w:fill="FFFFFF"/>
        </w:rPr>
        <w:t>If the stock does poorly, however, the investor may not be able to convert the security to stock and will only have the yield to show for their investment. But unlike stock, convertible bonds can only fall so far provided the issuing company remains solvent</w:t>
      </w:r>
      <w:r w:rsidR="004F0321" w:rsidRPr="00495A67">
        <w:rPr>
          <w:rFonts w:ascii="Arial" w:hAnsi="Arial" w:cs="Arial"/>
          <w:color w:val="202122"/>
          <w:sz w:val="24"/>
          <w:szCs w:val="24"/>
          <w:shd w:val="clear" w:color="auto" w:fill="FFFFFF"/>
        </w:rPr>
        <w:t xml:space="preserve"> </w:t>
      </w:r>
      <w:r w:rsidRPr="00495A67">
        <w:rPr>
          <w:rFonts w:ascii="Arial" w:hAnsi="Arial" w:cs="Arial"/>
          <w:color w:val="202122"/>
          <w:sz w:val="24"/>
          <w:szCs w:val="24"/>
          <w:shd w:val="clear" w:color="auto" w:fill="FFFFFF"/>
        </w:rPr>
        <w:t xml:space="preserve">since they have a specific maturity date when investors will receive their principal. In this sense, convertible bonds have a more limited downside than common </w:t>
      </w:r>
      <w:r w:rsidRPr="00495A67">
        <w:rPr>
          <w:rFonts w:ascii="Arial" w:hAnsi="Arial" w:cs="Arial"/>
          <w:color w:val="202122"/>
          <w:sz w:val="24"/>
          <w:szCs w:val="24"/>
          <w:shd w:val="clear" w:color="auto" w:fill="FFFFFF"/>
        </w:rPr>
        <w:lastRenderedPageBreak/>
        <w:t>stocks.</w:t>
      </w:r>
      <w:r w:rsidR="004F0321" w:rsidRPr="00495A67">
        <w:rPr>
          <w:rFonts w:ascii="Arial" w:hAnsi="Arial" w:cs="Arial"/>
          <w:color w:val="202122"/>
          <w:sz w:val="24"/>
          <w:szCs w:val="24"/>
          <w:shd w:val="clear" w:color="auto" w:fill="FFFFFF"/>
        </w:rPr>
        <w:t xml:space="preserve"> </w:t>
      </w:r>
      <w:r w:rsidRPr="00495A67">
        <w:rPr>
          <w:rFonts w:ascii="Arial" w:hAnsi="Arial" w:cs="Arial"/>
          <w:color w:val="202122"/>
          <w:sz w:val="24"/>
          <w:szCs w:val="24"/>
          <w:shd w:val="clear" w:color="auto" w:fill="FFFFFF"/>
        </w:rPr>
        <w:t>While convertible bonds have greater appreciation potential than corporate bonds, they may be also more vulnerable to losses if the issuer defaults (or fails to make its interest and principal payments on time). For that reason, investors in individual convertible bonds should be sure to conduct extensive credit research.</w:t>
      </w:r>
    </w:p>
    <w:sectPr w:rsidR="001C1259" w:rsidRPr="00495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F31"/>
    <w:multiLevelType w:val="multilevel"/>
    <w:tmpl w:val="FC1EB3F4"/>
    <w:lvl w:ilvl="0">
      <w:numFmt w:val="bullet"/>
      <w:lvlText w:val="•"/>
      <w:lvlJc w:val="left"/>
      <w:pPr>
        <w:ind w:left="360" w:hanging="360"/>
      </w:pPr>
      <w:rPr>
        <w:rFonts w:ascii="Roboto" w:eastAsiaTheme="minorHAnsi" w:hAnsi="Roboto" w:cstheme="minorBidi"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647D98"/>
    <w:multiLevelType w:val="hybridMultilevel"/>
    <w:tmpl w:val="FD704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E4104"/>
    <w:multiLevelType w:val="hybridMultilevel"/>
    <w:tmpl w:val="015EC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92C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035CB3"/>
    <w:multiLevelType w:val="hybridMultilevel"/>
    <w:tmpl w:val="340E888C"/>
    <w:lvl w:ilvl="0" w:tplc="BAE0AB00">
      <w:numFmt w:val="bullet"/>
      <w:lvlText w:val="•"/>
      <w:lvlJc w:val="left"/>
      <w:pPr>
        <w:ind w:left="1080" w:hanging="360"/>
      </w:pPr>
      <w:rPr>
        <w:rFonts w:ascii="Roboto" w:eastAsiaTheme="minorHAnsi" w:hAnsi="Roboto" w:cstheme="minorBid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8137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D36A73"/>
    <w:multiLevelType w:val="hybridMultilevel"/>
    <w:tmpl w:val="2C9224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4A14E7"/>
    <w:multiLevelType w:val="hybridMultilevel"/>
    <w:tmpl w:val="42EE2BB6"/>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8" w15:restartNumberingAfterBreak="0">
    <w:nsid w:val="20FF08E5"/>
    <w:multiLevelType w:val="multilevel"/>
    <w:tmpl w:val="D53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322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A548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2A0659"/>
    <w:multiLevelType w:val="hybridMultilevel"/>
    <w:tmpl w:val="5166505A"/>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2" w15:restartNumberingAfterBreak="0">
    <w:nsid w:val="38794309"/>
    <w:multiLevelType w:val="hybridMultilevel"/>
    <w:tmpl w:val="5A4EE7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6154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B832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2E4282"/>
    <w:multiLevelType w:val="hybridMultilevel"/>
    <w:tmpl w:val="C64CF56E"/>
    <w:lvl w:ilvl="0" w:tplc="BAE0AB00">
      <w:numFmt w:val="bullet"/>
      <w:lvlText w:val="•"/>
      <w:lvlJc w:val="left"/>
      <w:pPr>
        <w:ind w:left="720" w:hanging="360"/>
      </w:pPr>
      <w:rPr>
        <w:rFonts w:ascii="Roboto" w:eastAsiaTheme="minorHAnsi" w:hAnsi="Roboto"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A7D15"/>
    <w:multiLevelType w:val="hybridMultilevel"/>
    <w:tmpl w:val="DC16B6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507E36"/>
    <w:multiLevelType w:val="hybridMultilevel"/>
    <w:tmpl w:val="4848488C"/>
    <w:lvl w:ilvl="0" w:tplc="BAE0AB00">
      <w:numFmt w:val="bullet"/>
      <w:lvlText w:val="•"/>
      <w:lvlJc w:val="left"/>
      <w:pPr>
        <w:ind w:left="720" w:hanging="360"/>
      </w:pPr>
      <w:rPr>
        <w:rFonts w:ascii="Roboto" w:eastAsiaTheme="minorHAnsi" w:hAnsi="Roboto"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0802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A029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2A749A"/>
    <w:multiLevelType w:val="multilevel"/>
    <w:tmpl w:val="3718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14360"/>
    <w:multiLevelType w:val="hybridMultilevel"/>
    <w:tmpl w:val="EADA5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962922"/>
    <w:multiLevelType w:val="hybridMultilevel"/>
    <w:tmpl w:val="5B507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11"/>
  </w:num>
  <w:num w:numId="4">
    <w:abstractNumId w:val="2"/>
  </w:num>
  <w:num w:numId="5">
    <w:abstractNumId w:val="6"/>
  </w:num>
  <w:num w:numId="6">
    <w:abstractNumId w:val="7"/>
  </w:num>
  <w:num w:numId="7">
    <w:abstractNumId w:val="5"/>
  </w:num>
  <w:num w:numId="8">
    <w:abstractNumId w:val="19"/>
  </w:num>
  <w:num w:numId="9">
    <w:abstractNumId w:val="9"/>
  </w:num>
  <w:num w:numId="10">
    <w:abstractNumId w:val="14"/>
  </w:num>
  <w:num w:numId="11">
    <w:abstractNumId w:val="18"/>
  </w:num>
  <w:num w:numId="12">
    <w:abstractNumId w:val="15"/>
  </w:num>
  <w:num w:numId="13">
    <w:abstractNumId w:val="4"/>
  </w:num>
  <w:num w:numId="14">
    <w:abstractNumId w:val="10"/>
  </w:num>
  <w:num w:numId="15">
    <w:abstractNumId w:val="17"/>
  </w:num>
  <w:num w:numId="16">
    <w:abstractNumId w:val="0"/>
  </w:num>
  <w:num w:numId="17">
    <w:abstractNumId w:val="3"/>
  </w:num>
  <w:num w:numId="18">
    <w:abstractNumId w:val="13"/>
  </w:num>
  <w:num w:numId="19">
    <w:abstractNumId w:val="16"/>
  </w:num>
  <w:num w:numId="20">
    <w:abstractNumId w:val="21"/>
  </w:num>
  <w:num w:numId="21">
    <w:abstractNumId w:val="12"/>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FD"/>
    <w:rsid w:val="00015E6F"/>
    <w:rsid w:val="00026EFA"/>
    <w:rsid w:val="00092757"/>
    <w:rsid w:val="000B4920"/>
    <w:rsid w:val="000D02EF"/>
    <w:rsid w:val="001C1259"/>
    <w:rsid w:val="00255F06"/>
    <w:rsid w:val="003D2F48"/>
    <w:rsid w:val="00420308"/>
    <w:rsid w:val="004635DE"/>
    <w:rsid w:val="00495A67"/>
    <w:rsid w:val="004A76C1"/>
    <w:rsid w:val="004C1CF8"/>
    <w:rsid w:val="004C3128"/>
    <w:rsid w:val="004F0321"/>
    <w:rsid w:val="00534E9E"/>
    <w:rsid w:val="0055510F"/>
    <w:rsid w:val="00577434"/>
    <w:rsid w:val="005E764D"/>
    <w:rsid w:val="00722B37"/>
    <w:rsid w:val="00743F57"/>
    <w:rsid w:val="00784632"/>
    <w:rsid w:val="00893449"/>
    <w:rsid w:val="008B36DC"/>
    <w:rsid w:val="008C632F"/>
    <w:rsid w:val="00951638"/>
    <w:rsid w:val="00951832"/>
    <w:rsid w:val="0098325A"/>
    <w:rsid w:val="009E5C4C"/>
    <w:rsid w:val="009F30D3"/>
    <w:rsid w:val="009F5E61"/>
    <w:rsid w:val="00A114C2"/>
    <w:rsid w:val="00A144F6"/>
    <w:rsid w:val="00A20732"/>
    <w:rsid w:val="00AB409B"/>
    <w:rsid w:val="00BC1FEF"/>
    <w:rsid w:val="00BF5AE7"/>
    <w:rsid w:val="00C21528"/>
    <w:rsid w:val="00C242D5"/>
    <w:rsid w:val="00C8451D"/>
    <w:rsid w:val="00C90684"/>
    <w:rsid w:val="00CF3BC8"/>
    <w:rsid w:val="00DD79E3"/>
    <w:rsid w:val="00DE70F2"/>
    <w:rsid w:val="00E1536A"/>
    <w:rsid w:val="00E20D8A"/>
    <w:rsid w:val="00E237AB"/>
    <w:rsid w:val="00EC02DF"/>
    <w:rsid w:val="00EC0D3E"/>
    <w:rsid w:val="00F302FD"/>
    <w:rsid w:val="00F452FD"/>
    <w:rsid w:val="00F543FD"/>
    <w:rsid w:val="00F56EBB"/>
    <w:rsid w:val="00FB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9DFF"/>
  <w15:chartTrackingRefBased/>
  <w15:docId w15:val="{44F4BF9B-9288-4984-B7E9-56CD6302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3FD"/>
    <w:pPr>
      <w:ind w:left="720"/>
      <w:contextualSpacing/>
    </w:pPr>
  </w:style>
  <w:style w:type="character" w:styleId="Hyperlink">
    <w:name w:val="Hyperlink"/>
    <w:basedOn w:val="DefaultParagraphFont"/>
    <w:uiPriority w:val="99"/>
    <w:semiHidden/>
    <w:unhideWhenUsed/>
    <w:rsid w:val="00CF3BC8"/>
    <w:rPr>
      <w:color w:val="0000FF"/>
      <w:u w:val="single"/>
    </w:rPr>
  </w:style>
  <w:style w:type="character" w:customStyle="1" w:styleId="termtext">
    <w:name w:val="termtext"/>
    <w:basedOn w:val="DefaultParagraphFont"/>
    <w:rsid w:val="00255F06"/>
  </w:style>
  <w:style w:type="table" w:styleId="TableGrid">
    <w:name w:val="Table Grid"/>
    <w:basedOn w:val="TableNormal"/>
    <w:uiPriority w:val="39"/>
    <w:rsid w:val="008C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22B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EC02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2">
    <w:name w:val="Grid Table 5 Dark Accent 2"/>
    <w:basedOn w:val="TableNormal"/>
    <w:uiPriority w:val="50"/>
    <w:rsid w:val="00DD79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9006">
      <w:bodyDiv w:val="1"/>
      <w:marLeft w:val="0"/>
      <w:marRight w:val="0"/>
      <w:marTop w:val="0"/>
      <w:marBottom w:val="0"/>
      <w:divBdr>
        <w:top w:val="none" w:sz="0" w:space="0" w:color="auto"/>
        <w:left w:val="none" w:sz="0" w:space="0" w:color="auto"/>
        <w:bottom w:val="none" w:sz="0" w:space="0" w:color="auto"/>
        <w:right w:val="none" w:sz="0" w:space="0" w:color="auto"/>
      </w:divBdr>
    </w:div>
    <w:div w:id="38476104">
      <w:bodyDiv w:val="1"/>
      <w:marLeft w:val="0"/>
      <w:marRight w:val="0"/>
      <w:marTop w:val="0"/>
      <w:marBottom w:val="0"/>
      <w:divBdr>
        <w:top w:val="none" w:sz="0" w:space="0" w:color="auto"/>
        <w:left w:val="none" w:sz="0" w:space="0" w:color="auto"/>
        <w:bottom w:val="none" w:sz="0" w:space="0" w:color="auto"/>
        <w:right w:val="none" w:sz="0" w:space="0" w:color="auto"/>
      </w:divBdr>
    </w:div>
    <w:div w:id="188421792">
      <w:bodyDiv w:val="1"/>
      <w:marLeft w:val="0"/>
      <w:marRight w:val="0"/>
      <w:marTop w:val="0"/>
      <w:marBottom w:val="0"/>
      <w:divBdr>
        <w:top w:val="none" w:sz="0" w:space="0" w:color="auto"/>
        <w:left w:val="none" w:sz="0" w:space="0" w:color="auto"/>
        <w:bottom w:val="none" w:sz="0" w:space="0" w:color="auto"/>
        <w:right w:val="none" w:sz="0" w:space="0" w:color="auto"/>
      </w:divBdr>
    </w:div>
    <w:div w:id="263075913">
      <w:bodyDiv w:val="1"/>
      <w:marLeft w:val="0"/>
      <w:marRight w:val="0"/>
      <w:marTop w:val="0"/>
      <w:marBottom w:val="0"/>
      <w:divBdr>
        <w:top w:val="none" w:sz="0" w:space="0" w:color="auto"/>
        <w:left w:val="none" w:sz="0" w:space="0" w:color="auto"/>
        <w:bottom w:val="none" w:sz="0" w:space="0" w:color="auto"/>
        <w:right w:val="none" w:sz="0" w:space="0" w:color="auto"/>
      </w:divBdr>
    </w:div>
    <w:div w:id="926500887">
      <w:bodyDiv w:val="1"/>
      <w:marLeft w:val="0"/>
      <w:marRight w:val="0"/>
      <w:marTop w:val="0"/>
      <w:marBottom w:val="0"/>
      <w:divBdr>
        <w:top w:val="none" w:sz="0" w:space="0" w:color="auto"/>
        <w:left w:val="none" w:sz="0" w:space="0" w:color="auto"/>
        <w:bottom w:val="none" w:sz="0" w:space="0" w:color="auto"/>
        <w:right w:val="none" w:sz="0" w:space="0" w:color="auto"/>
      </w:divBdr>
    </w:div>
    <w:div w:id="1047338852">
      <w:bodyDiv w:val="1"/>
      <w:marLeft w:val="0"/>
      <w:marRight w:val="0"/>
      <w:marTop w:val="0"/>
      <w:marBottom w:val="0"/>
      <w:divBdr>
        <w:top w:val="none" w:sz="0" w:space="0" w:color="auto"/>
        <w:left w:val="none" w:sz="0" w:space="0" w:color="auto"/>
        <w:bottom w:val="none" w:sz="0" w:space="0" w:color="auto"/>
        <w:right w:val="none" w:sz="0" w:space="0" w:color="auto"/>
      </w:divBdr>
    </w:div>
    <w:div w:id="1053389931">
      <w:bodyDiv w:val="1"/>
      <w:marLeft w:val="0"/>
      <w:marRight w:val="0"/>
      <w:marTop w:val="0"/>
      <w:marBottom w:val="0"/>
      <w:divBdr>
        <w:top w:val="none" w:sz="0" w:space="0" w:color="auto"/>
        <w:left w:val="none" w:sz="0" w:space="0" w:color="auto"/>
        <w:bottom w:val="none" w:sz="0" w:space="0" w:color="auto"/>
        <w:right w:val="none" w:sz="0" w:space="0" w:color="auto"/>
      </w:divBdr>
    </w:div>
    <w:div w:id="1058165073">
      <w:bodyDiv w:val="1"/>
      <w:marLeft w:val="0"/>
      <w:marRight w:val="0"/>
      <w:marTop w:val="0"/>
      <w:marBottom w:val="0"/>
      <w:divBdr>
        <w:top w:val="none" w:sz="0" w:space="0" w:color="auto"/>
        <w:left w:val="none" w:sz="0" w:space="0" w:color="auto"/>
        <w:bottom w:val="none" w:sz="0" w:space="0" w:color="auto"/>
        <w:right w:val="none" w:sz="0" w:space="0" w:color="auto"/>
      </w:divBdr>
    </w:div>
    <w:div w:id="1216434101">
      <w:bodyDiv w:val="1"/>
      <w:marLeft w:val="0"/>
      <w:marRight w:val="0"/>
      <w:marTop w:val="0"/>
      <w:marBottom w:val="0"/>
      <w:divBdr>
        <w:top w:val="none" w:sz="0" w:space="0" w:color="auto"/>
        <w:left w:val="none" w:sz="0" w:space="0" w:color="auto"/>
        <w:bottom w:val="none" w:sz="0" w:space="0" w:color="auto"/>
        <w:right w:val="none" w:sz="0" w:space="0" w:color="auto"/>
      </w:divBdr>
    </w:div>
    <w:div w:id="182485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004FA-4E24-46E8-AB75-42DABD14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Rishika Agarwal</dc:creator>
  <cp:keywords/>
  <dc:description/>
  <cp:lastModifiedBy>dbslds@gmail.com</cp:lastModifiedBy>
  <cp:revision>4</cp:revision>
  <dcterms:created xsi:type="dcterms:W3CDTF">2021-12-03T17:50:00Z</dcterms:created>
  <dcterms:modified xsi:type="dcterms:W3CDTF">2021-12-05T14:08:00Z</dcterms:modified>
</cp:coreProperties>
</file>