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18" w:rsidRPr="003E31DF" w:rsidRDefault="00A919D3">
      <w:pPr>
        <w:rPr>
          <w:rFonts w:ascii="Arial" w:hAnsi="Arial" w:cs="Arial"/>
          <w:sz w:val="20"/>
          <w:szCs w:val="20"/>
        </w:rPr>
      </w:pPr>
      <w:r w:rsidRPr="003E31DF">
        <w:rPr>
          <w:rFonts w:ascii="Arial" w:hAnsi="Arial" w:cs="Arial"/>
          <w:sz w:val="20"/>
          <w:szCs w:val="20"/>
        </w:rPr>
        <w:t>Business Finance Assignment 1</w:t>
      </w:r>
    </w:p>
    <w:p w:rsidR="00A919D3" w:rsidRPr="003E31DF" w:rsidRDefault="00A919D3" w:rsidP="00A919D3">
      <w:pPr>
        <w:pStyle w:val="ListParagraph"/>
        <w:numPr>
          <w:ilvl w:val="0"/>
          <w:numId w:val="1"/>
        </w:numPr>
        <w:rPr>
          <w:rFonts w:ascii="Arial" w:hAnsi="Arial" w:cs="Arial"/>
          <w:sz w:val="20"/>
          <w:szCs w:val="20"/>
        </w:rPr>
      </w:pPr>
      <w:r w:rsidRPr="003E31DF">
        <w:rPr>
          <w:rFonts w:ascii="Arial" w:hAnsi="Arial" w:cs="Arial"/>
          <w:sz w:val="20"/>
          <w:szCs w:val="20"/>
        </w:rPr>
        <w:t>A</w:t>
      </w:r>
    </w:p>
    <w:p w:rsidR="00A919D3" w:rsidRPr="003E31DF" w:rsidRDefault="00A919D3" w:rsidP="00A919D3">
      <w:pPr>
        <w:pStyle w:val="ListParagraph"/>
        <w:numPr>
          <w:ilvl w:val="0"/>
          <w:numId w:val="1"/>
        </w:numPr>
        <w:rPr>
          <w:rFonts w:ascii="Arial" w:hAnsi="Arial" w:cs="Arial"/>
          <w:sz w:val="20"/>
          <w:szCs w:val="20"/>
        </w:rPr>
      </w:pPr>
      <w:r w:rsidRPr="003E31DF">
        <w:rPr>
          <w:rFonts w:ascii="Arial" w:hAnsi="Arial" w:cs="Arial"/>
          <w:sz w:val="20"/>
          <w:szCs w:val="20"/>
        </w:rPr>
        <w:t>C</w:t>
      </w:r>
    </w:p>
    <w:p w:rsidR="00A919D3" w:rsidRPr="003E31DF" w:rsidRDefault="009640B5" w:rsidP="00A919D3">
      <w:pPr>
        <w:pStyle w:val="ListParagraph"/>
        <w:numPr>
          <w:ilvl w:val="0"/>
          <w:numId w:val="1"/>
        </w:numPr>
        <w:rPr>
          <w:rFonts w:ascii="Arial" w:hAnsi="Arial" w:cs="Arial"/>
          <w:sz w:val="20"/>
          <w:szCs w:val="20"/>
        </w:rPr>
      </w:pPr>
      <w:r w:rsidRPr="003E31DF">
        <w:rPr>
          <w:rFonts w:ascii="Arial" w:hAnsi="Arial" w:cs="Arial"/>
          <w:sz w:val="20"/>
          <w:szCs w:val="20"/>
        </w:rPr>
        <w:t>B</w:t>
      </w:r>
    </w:p>
    <w:p w:rsidR="009640B5" w:rsidRPr="003E31DF" w:rsidRDefault="009640B5" w:rsidP="00A919D3">
      <w:pPr>
        <w:pStyle w:val="ListParagraph"/>
        <w:numPr>
          <w:ilvl w:val="0"/>
          <w:numId w:val="1"/>
        </w:numPr>
        <w:rPr>
          <w:rFonts w:ascii="Arial" w:hAnsi="Arial" w:cs="Arial"/>
          <w:sz w:val="20"/>
          <w:szCs w:val="20"/>
        </w:rPr>
      </w:pPr>
      <w:r w:rsidRPr="003E31DF">
        <w:rPr>
          <w:rFonts w:ascii="Arial" w:hAnsi="Arial" w:cs="Arial"/>
          <w:sz w:val="20"/>
          <w:szCs w:val="20"/>
        </w:rPr>
        <w:t>C</w:t>
      </w:r>
    </w:p>
    <w:p w:rsidR="009640B5" w:rsidRPr="003E31DF" w:rsidRDefault="009640B5" w:rsidP="009640B5">
      <w:pPr>
        <w:rPr>
          <w:rFonts w:ascii="Arial" w:hAnsi="Arial" w:cs="Arial"/>
          <w:sz w:val="20"/>
          <w:szCs w:val="20"/>
        </w:rPr>
      </w:pPr>
    </w:p>
    <w:p w:rsidR="007E15F1" w:rsidRPr="003E31DF" w:rsidRDefault="008F7A76" w:rsidP="007E15F1">
      <w:pPr>
        <w:pStyle w:val="ListParagraph"/>
        <w:numPr>
          <w:ilvl w:val="0"/>
          <w:numId w:val="1"/>
        </w:numPr>
        <w:rPr>
          <w:rFonts w:ascii="Arial" w:hAnsi="Arial" w:cs="Arial"/>
          <w:sz w:val="20"/>
          <w:szCs w:val="20"/>
        </w:rPr>
      </w:pPr>
      <w:r w:rsidRPr="003E31DF">
        <w:rPr>
          <w:rFonts w:ascii="Arial" w:hAnsi="Arial" w:cs="Arial"/>
          <w:sz w:val="20"/>
          <w:szCs w:val="20"/>
        </w:rPr>
        <w:t xml:space="preserve">A) The realisation concept of accounting states that </w:t>
      </w:r>
      <w:r w:rsidR="007E15F1" w:rsidRPr="003E31DF">
        <w:rPr>
          <w:rFonts w:ascii="Arial" w:hAnsi="Arial" w:cs="Arial"/>
          <w:sz w:val="20"/>
          <w:szCs w:val="20"/>
        </w:rPr>
        <w:t xml:space="preserve">income should be realised when an invoice is made, not when the customer settles their bill. </w:t>
      </w:r>
      <w:r w:rsidR="007E15F1" w:rsidRPr="003E31DF">
        <w:rPr>
          <w:rFonts w:ascii="Arial" w:hAnsi="Arial" w:cs="Arial"/>
          <w:sz w:val="20"/>
          <w:szCs w:val="20"/>
        </w:rPr>
        <w:br/>
        <w:t>The accruals concept states that all expenses should be matched to the income of their respective accounting period, regardless of when the payment is made for the incomes and expenses.</w:t>
      </w:r>
    </w:p>
    <w:p w:rsidR="007E15F1" w:rsidRPr="003E31DF" w:rsidRDefault="007E15F1" w:rsidP="007E15F1">
      <w:pPr>
        <w:pStyle w:val="ListParagraph"/>
        <w:rPr>
          <w:rFonts w:ascii="Arial" w:hAnsi="Arial" w:cs="Arial"/>
          <w:sz w:val="20"/>
          <w:szCs w:val="20"/>
        </w:rPr>
      </w:pPr>
    </w:p>
    <w:p w:rsidR="007E15F1" w:rsidRPr="003E31DF" w:rsidRDefault="0060634A" w:rsidP="0060634A">
      <w:pPr>
        <w:pStyle w:val="ListParagraph"/>
        <w:rPr>
          <w:rFonts w:ascii="Arial" w:hAnsi="Arial" w:cs="Arial"/>
          <w:sz w:val="20"/>
          <w:szCs w:val="20"/>
        </w:rPr>
      </w:pPr>
      <w:r w:rsidRPr="003E31DF">
        <w:rPr>
          <w:rFonts w:ascii="Arial" w:hAnsi="Arial" w:cs="Arial"/>
          <w:sz w:val="20"/>
          <w:szCs w:val="20"/>
        </w:rPr>
        <w:t>B) The revenue received for the health policy should be proportionately spread across the period of 12 months when the policy is active. The same should be done for the expenses incurred and claims paid for the policy.</w:t>
      </w:r>
    </w:p>
    <w:p w:rsidR="0060634A" w:rsidRPr="003E31DF" w:rsidRDefault="0060634A" w:rsidP="0060634A">
      <w:pPr>
        <w:rPr>
          <w:rFonts w:ascii="Arial" w:hAnsi="Arial" w:cs="Arial"/>
          <w:sz w:val="20"/>
          <w:szCs w:val="20"/>
        </w:rPr>
      </w:pPr>
    </w:p>
    <w:p w:rsidR="0060634A" w:rsidRPr="003E31DF" w:rsidRDefault="00C03B06" w:rsidP="0060634A">
      <w:pPr>
        <w:pStyle w:val="ListParagraph"/>
        <w:numPr>
          <w:ilvl w:val="0"/>
          <w:numId w:val="1"/>
        </w:numPr>
        <w:rPr>
          <w:rFonts w:ascii="Arial" w:hAnsi="Arial" w:cs="Arial"/>
          <w:sz w:val="20"/>
          <w:szCs w:val="20"/>
        </w:rPr>
      </w:pPr>
      <w:r w:rsidRPr="003E31DF">
        <w:rPr>
          <w:rFonts w:ascii="Arial" w:hAnsi="Arial" w:cs="Arial"/>
          <w:sz w:val="20"/>
          <w:szCs w:val="20"/>
        </w:rPr>
        <w:t>A company might overstate heir profit to keep a positive image in the stock market. This can be done by showing fake revenue that would increase the profit.</w:t>
      </w:r>
      <w:r w:rsidRPr="003E31DF">
        <w:rPr>
          <w:rFonts w:ascii="Arial" w:hAnsi="Arial" w:cs="Arial"/>
          <w:sz w:val="20"/>
          <w:szCs w:val="20"/>
        </w:rPr>
        <w:br/>
        <w:t>The company can understate its profit to pay minimal tax to the government. This can be done by inflating the expenses</w:t>
      </w:r>
      <w:r w:rsidRPr="003E31DF">
        <w:rPr>
          <w:rFonts w:ascii="Arial" w:hAnsi="Arial" w:cs="Arial"/>
          <w:sz w:val="20"/>
          <w:szCs w:val="20"/>
        </w:rPr>
        <w:br/>
        <w:t>Directors may be bribed to manipulate the financial statements for a third party’s own benefit.</w:t>
      </w:r>
    </w:p>
    <w:p w:rsidR="0060634A" w:rsidRPr="003E31DF" w:rsidRDefault="0060634A" w:rsidP="0060634A">
      <w:pPr>
        <w:pStyle w:val="ListParagraph"/>
        <w:rPr>
          <w:rFonts w:ascii="Arial" w:hAnsi="Arial" w:cs="Arial"/>
          <w:sz w:val="20"/>
          <w:szCs w:val="20"/>
        </w:rPr>
      </w:pPr>
    </w:p>
    <w:p w:rsidR="0060634A" w:rsidRPr="003E31DF" w:rsidRDefault="00EC4379" w:rsidP="0060634A">
      <w:pPr>
        <w:pStyle w:val="ListParagraph"/>
        <w:numPr>
          <w:ilvl w:val="0"/>
          <w:numId w:val="1"/>
        </w:numPr>
        <w:rPr>
          <w:rFonts w:ascii="Arial" w:hAnsi="Arial" w:cs="Arial"/>
          <w:sz w:val="20"/>
          <w:szCs w:val="20"/>
        </w:rPr>
      </w:pPr>
      <w:r w:rsidRPr="003E31DF">
        <w:rPr>
          <w:rFonts w:ascii="Arial" w:hAnsi="Arial" w:cs="Arial"/>
          <w:sz w:val="20"/>
          <w:szCs w:val="20"/>
        </w:rPr>
        <w:t>Answer</w:t>
      </w:r>
    </w:p>
    <w:p w:rsidR="00EC4379" w:rsidRPr="003E31DF" w:rsidRDefault="00EC4379" w:rsidP="00EC4379">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976"/>
        <w:gridCol w:w="3261"/>
        <w:gridCol w:w="4059"/>
      </w:tblGrid>
      <w:tr w:rsidR="00EC4379" w:rsidRPr="003E31DF" w:rsidTr="00EC4379">
        <w:tc>
          <w:tcPr>
            <w:tcW w:w="976" w:type="dxa"/>
          </w:tcPr>
          <w:p w:rsidR="00EC4379" w:rsidRPr="003E31DF" w:rsidRDefault="00EC4379" w:rsidP="00EC4379">
            <w:pPr>
              <w:pStyle w:val="ListParagraph"/>
              <w:ind w:left="0"/>
              <w:jc w:val="center"/>
              <w:rPr>
                <w:rFonts w:ascii="Arial" w:hAnsi="Arial" w:cs="Arial"/>
                <w:sz w:val="20"/>
                <w:szCs w:val="20"/>
              </w:rPr>
            </w:pPr>
          </w:p>
        </w:tc>
        <w:tc>
          <w:tcPr>
            <w:tcW w:w="3261" w:type="dxa"/>
          </w:tcPr>
          <w:p w:rsidR="00EC4379" w:rsidRPr="003E31DF" w:rsidRDefault="00EC4379" w:rsidP="00EC4379">
            <w:pPr>
              <w:pStyle w:val="ListParagraph"/>
              <w:ind w:left="0"/>
              <w:jc w:val="center"/>
              <w:rPr>
                <w:rFonts w:ascii="Arial" w:hAnsi="Arial" w:cs="Arial"/>
                <w:sz w:val="20"/>
                <w:szCs w:val="20"/>
              </w:rPr>
            </w:pPr>
            <w:r w:rsidRPr="003E31DF">
              <w:rPr>
                <w:rFonts w:ascii="Arial" w:hAnsi="Arial" w:cs="Arial"/>
                <w:sz w:val="20"/>
                <w:szCs w:val="20"/>
              </w:rPr>
              <w:t>Effect on gross profit</w:t>
            </w:r>
          </w:p>
        </w:tc>
        <w:tc>
          <w:tcPr>
            <w:tcW w:w="4059" w:type="dxa"/>
          </w:tcPr>
          <w:p w:rsidR="00EC4379" w:rsidRPr="003E31DF" w:rsidRDefault="00EC4379" w:rsidP="00EC4379">
            <w:pPr>
              <w:pStyle w:val="ListParagraph"/>
              <w:ind w:left="0"/>
              <w:jc w:val="center"/>
              <w:rPr>
                <w:rFonts w:ascii="Arial" w:hAnsi="Arial" w:cs="Arial"/>
                <w:sz w:val="20"/>
                <w:szCs w:val="20"/>
              </w:rPr>
            </w:pPr>
            <w:r w:rsidRPr="003E31DF">
              <w:rPr>
                <w:rFonts w:ascii="Arial" w:hAnsi="Arial" w:cs="Arial"/>
                <w:sz w:val="20"/>
                <w:szCs w:val="20"/>
              </w:rPr>
              <w:t>Effect on cash flow</w:t>
            </w:r>
          </w:p>
        </w:tc>
      </w:tr>
      <w:tr w:rsidR="00EC4379" w:rsidRPr="003E31DF" w:rsidTr="00EC4379">
        <w:tc>
          <w:tcPr>
            <w:tcW w:w="976"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1</w:t>
            </w:r>
          </w:p>
        </w:tc>
        <w:tc>
          <w:tcPr>
            <w:tcW w:w="3261"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c>
          <w:tcPr>
            <w:tcW w:w="4059"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r>
      <w:tr w:rsidR="00EC4379" w:rsidRPr="003E31DF" w:rsidTr="00EC4379">
        <w:tc>
          <w:tcPr>
            <w:tcW w:w="976"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2</w:t>
            </w:r>
          </w:p>
        </w:tc>
        <w:tc>
          <w:tcPr>
            <w:tcW w:w="3261"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c>
          <w:tcPr>
            <w:tcW w:w="4059"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Decrease</w:t>
            </w:r>
          </w:p>
        </w:tc>
      </w:tr>
      <w:tr w:rsidR="00EC4379" w:rsidRPr="003E31DF" w:rsidTr="00EC4379">
        <w:tc>
          <w:tcPr>
            <w:tcW w:w="976"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3</w:t>
            </w:r>
          </w:p>
        </w:tc>
        <w:tc>
          <w:tcPr>
            <w:tcW w:w="3261"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Increase</w:t>
            </w:r>
          </w:p>
        </w:tc>
        <w:tc>
          <w:tcPr>
            <w:tcW w:w="4059"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r>
      <w:tr w:rsidR="00EC4379" w:rsidRPr="003E31DF" w:rsidTr="00EC4379">
        <w:tc>
          <w:tcPr>
            <w:tcW w:w="976"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4</w:t>
            </w:r>
          </w:p>
        </w:tc>
        <w:tc>
          <w:tcPr>
            <w:tcW w:w="3261"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c>
          <w:tcPr>
            <w:tcW w:w="4059"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r>
      <w:tr w:rsidR="00EC4379" w:rsidRPr="003E31DF" w:rsidTr="00EC4379">
        <w:tc>
          <w:tcPr>
            <w:tcW w:w="976"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5</w:t>
            </w:r>
          </w:p>
        </w:tc>
        <w:tc>
          <w:tcPr>
            <w:tcW w:w="3261"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c>
          <w:tcPr>
            <w:tcW w:w="4059" w:type="dxa"/>
          </w:tcPr>
          <w:p w:rsidR="00EC4379" w:rsidRPr="003E31DF" w:rsidRDefault="00EC4379" w:rsidP="00EC4379">
            <w:pPr>
              <w:pStyle w:val="ListParagraph"/>
              <w:ind w:left="0"/>
              <w:rPr>
                <w:rFonts w:ascii="Arial" w:hAnsi="Arial" w:cs="Arial"/>
                <w:sz w:val="20"/>
                <w:szCs w:val="20"/>
              </w:rPr>
            </w:pPr>
            <w:r w:rsidRPr="003E31DF">
              <w:rPr>
                <w:rFonts w:ascii="Arial" w:hAnsi="Arial" w:cs="Arial"/>
                <w:sz w:val="20"/>
                <w:szCs w:val="20"/>
              </w:rPr>
              <w:t>No effect</w:t>
            </w:r>
          </w:p>
        </w:tc>
      </w:tr>
    </w:tbl>
    <w:p w:rsidR="00EC4379" w:rsidRPr="003E31DF" w:rsidRDefault="00EC4379" w:rsidP="00EC4379">
      <w:pPr>
        <w:pStyle w:val="ListParagraph"/>
        <w:rPr>
          <w:rFonts w:ascii="Arial" w:hAnsi="Arial" w:cs="Arial"/>
          <w:sz w:val="20"/>
          <w:szCs w:val="20"/>
        </w:rPr>
      </w:pPr>
    </w:p>
    <w:p w:rsidR="00EC4379" w:rsidRPr="003E31DF" w:rsidRDefault="00EC4379" w:rsidP="00EC4379">
      <w:pPr>
        <w:pStyle w:val="ListParagraph"/>
        <w:numPr>
          <w:ilvl w:val="0"/>
          <w:numId w:val="1"/>
        </w:numPr>
        <w:rPr>
          <w:rFonts w:ascii="Arial" w:hAnsi="Arial" w:cs="Arial"/>
          <w:i/>
          <w:sz w:val="20"/>
          <w:szCs w:val="20"/>
        </w:rPr>
      </w:pPr>
    </w:p>
    <w:p w:rsidR="00EC4379" w:rsidRPr="003E31DF" w:rsidRDefault="00EC4379" w:rsidP="00EC4379">
      <w:pPr>
        <w:ind w:left="360"/>
        <w:rPr>
          <w:rFonts w:ascii="Arial" w:hAnsi="Arial" w:cs="Arial"/>
          <w:sz w:val="20"/>
          <w:szCs w:val="20"/>
        </w:rPr>
      </w:pPr>
      <w:proofErr w:type="spellStart"/>
      <w:r w:rsidRPr="003E31DF">
        <w:rPr>
          <w:rFonts w:ascii="Arial" w:hAnsi="Arial" w:cs="Arial"/>
          <w:i/>
          <w:sz w:val="20"/>
          <w:szCs w:val="20"/>
        </w:rPr>
        <w:t>i</w:t>
      </w:r>
      <w:proofErr w:type="spellEnd"/>
      <w:r w:rsidRPr="003E31DF">
        <w:rPr>
          <w:rFonts w:ascii="Arial" w:hAnsi="Arial" w:cs="Arial"/>
          <w:sz w:val="20"/>
          <w:szCs w:val="20"/>
        </w:rPr>
        <w:t>) The main roles of regulation in the financial system are:</w:t>
      </w:r>
    </w:p>
    <w:p w:rsidR="00EC4379" w:rsidRPr="003E31DF" w:rsidRDefault="00EC4379" w:rsidP="00EC4379">
      <w:pPr>
        <w:pStyle w:val="ListParagraph"/>
        <w:numPr>
          <w:ilvl w:val="0"/>
          <w:numId w:val="5"/>
        </w:numPr>
        <w:rPr>
          <w:rFonts w:ascii="Arial" w:hAnsi="Arial" w:cs="Arial"/>
          <w:sz w:val="20"/>
          <w:szCs w:val="20"/>
        </w:rPr>
      </w:pPr>
      <w:r w:rsidRPr="003E31DF">
        <w:rPr>
          <w:rFonts w:ascii="Arial" w:hAnsi="Arial" w:cs="Arial"/>
          <w:sz w:val="20"/>
          <w:szCs w:val="20"/>
        </w:rPr>
        <w:t>To avoid unfair practices in the market</w:t>
      </w:r>
    </w:p>
    <w:p w:rsidR="00EC4379" w:rsidRPr="003E31DF" w:rsidRDefault="00EC4379" w:rsidP="00EC4379">
      <w:pPr>
        <w:pStyle w:val="ListParagraph"/>
        <w:numPr>
          <w:ilvl w:val="0"/>
          <w:numId w:val="5"/>
        </w:numPr>
        <w:rPr>
          <w:rFonts w:ascii="Arial" w:hAnsi="Arial" w:cs="Arial"/>
          <w:sz w:val="20"/>
          <w:szCs w:val="20"/>
        </w:rPr>
      </w:pPr>
      <w:r w:rsidRPr="003E31DF">
        <w:rPr>
          <w:rFonts w:ascii="Arial" w:hAnsi="Arial" w:cs="Arial"/>
          <w:sz w:val="20"/>
          <w:szCs w:val="20"/>
        </w:rPr>
        <w:t>To avoid the formation of monopolies in the market</w:t>
      </w:r>
    </w:p>
    <w:p w:rsidR="00EC4379" w:rsidRPr="003E31DF" w:rsidRDefault="00EC4379" w:rsidP="00EC4379">
      <w:pPr>
        <w:pStyle w:val="ListParagraph"/>
        <w:numPr>
          <w:ilvl w:val="0"/>
          <w:numId w:val="5"/>
        </w:numPr>
        <w:rPr>
          <w:rFonts w:ascii="Arial" w:hAnsi="Arial" w:cs="Arial"/>
          <w:sz w:val="20"/>
          <w:szCs w:val="20"/>
        </w:rPr>
      </w:pPr>
      <w:r w:rsidRPr="003E31DF">
        <w:rPr>
          <w:rFonts w:ascii="Arial" w:hAnsi="Arial" w:cs="Arial"/>
          <w:sz w:val="20"/>
          <w:szCs w:val="20"/>
        </w:rPr>
        <w:t>To ensure consistency in the financial services offered by various companies</w:t>
      </w:r>
    </w:p>
    <w:p w:rsidR="00EC4379" w:rsidRPr="003E31DF" w:rsidRDefault="00EC4379" w:rsidP="00EC4379">
      <w:pPr>
        <w:pStyle w:val="ListParagraph"/>
        <w:numPr>
          <w:ilvl w:val="0"/>
          <w:numId w:val="5"/>
        </w:numPr>
        <w:rPr>
          <w:rFonts w:ascii="Arial" w:hAnsi="Arial" w:cs="Arial"/>
          <w:sz w:val="20"/>
          <w:szCs w:val="20"/>
        </w:rPr>
      </w:pPr>
      <w:r w:rsidRPr="003E31DF">
        <w:rPr>
          <w:rFonts w:ascii="Arial" w:hAnsi="Arial" w:cs="Arial"/>
          <w:sz w:val="20"/>
          <w:szCs w:val="20"/>
        </w:rPr>
        <w:t xml:space="preserve">To protect the rights of a consumer </w:t>
      </w:r>
    </w:p>
    <w:p w:rsidR="00EC4379" w:rsidRPr="003E31DF" w:rsidRDefault="00EC4379" w:rsidP="00EC4379">
      <w:pPr>
        <w:rPr>
          <w:rFonts w:ascii="Arial" w:hAnsi="Arial" w:cs="Arial"/>
          <w:i/>
          <w:sz w:val="20"/>
          <w:szCs w:val="20"/>
        </w:rPr>
      </w:pPr>
      <w:r w:rsidRPr="003E31DF">
        <w:rPr>
          <w:rFonts w:ascii="Arial" w:hAnsi="Arial" w:cs="Arial"/>
          <w:i/>
          <w:sz w:val="20"/>
          <w:szCs w:val="20"/>
        </w:rPr>
        <w:t xml:space="preserve">ii) </w:t>
      </w:r>
      <w:r w:rsidRPr="003E31DF">
        <w:rPr>
          <w:rFonts w:ascii="Arial" w:hAnsi="Arial" w:cs="Arial"/>
          <w:sz w:val="20"/>
          <w:szCs w:val="20"/>
        </w:rPr>
        <w:t>The 5 regulatory bodies governing the Indian financial regulatory system are</w:t>
      </w:r>
    </w:p>
    <w:p w:rsidR="00EC4379" w:rsidRPr="003E31DF" w:rsidRDefault="00EC4379" w:rsidP="00EC4379">
      <w:pPr>
        <w:pStyle w:val="ListParagraph"/>
        <w:numPr>
          <w:ilvl w:val="0"/>
          <w:numId w:val="6"/>
        </w:numPr>
        <w:spacing w:line="256" w:lineRule="auto"/>
        <w:rPr>
          <w:rFonts w:ascii="Arial" w:hAnsi="Arial" w:cs="Arial"/>
          <w:sz w:val="20"/>
          <w:szCs w:val="20"/>
        </w:rPr>
      </w:pPr>
      <w:r w:rsidRPr="003E31DF">
        <w:rPr>
          <w:rFonts w:ascii="Arial" w:hAnsi="Arial" w:cs="Arial"/>
          <w:sz w:val="20"/>
          <w:szCs w:val="20"/>
        </w:rPr>
        <w:t xml:space="preserve">SEBI – securities and exchange board of </w:t>
      </w:r>
      <w:proofErr w:type="spellStart"/>
      <w:proofErr w:type="gramStart"/>
      <w:r w:rsidRPr="003E31DF">
        <w:rPr>
          <w:rFonts w:ascii="Arial" w:hAnsi="Arial" w:cs="Arial"/>
          <w:sz w:val="20"/>
          <w:szCs w:val="20"/>
        </w:rPr>
        <w:t>india</w:t>
      </w:r>
      <w:proofErr w:type="spellEnd"/>
      <w:proofErr w:type="gramEnd"/>
      <w:r w:rsidRPr="003E31DF">
        <w:rPr>
          <w:rFonts w:ascii="Arial" w:hAnsi="Arial" w:cs="Arial"/>
          <w:sz w:val="20"/>
          <w:szCs w:val="20"/>
        </w:rPr>
        <w:t>.</w:t>
      </w:r>
    </w:p>
    <w:p w:rsidR="00EC4379" w:rsidRPr="003E31DF" w:rsidRDefault="00EC4379" w:rsidP="00EC4379">
      <w:pPr>
        <w:pStyle w:val="ListParagraph"/>
        <w:numPr>
          <w:ilvl w:val="0"/>
          <w:numId w:val="6"/>
        </w:numPr>
        <w:spacing w:line="256" w:lineRule="auto"/>
        <w:rPr>
          <w:rFonts w:ascii="Arial" w:hAnsi="Arial" w:cs="Arial"/>
          <w:sz w:val="20"/>
          <w:szCs w:val="20"/>
        </w:rPr>
      </w:pPr>
      <w:r w:rsidRPr="003E31DF">
        <w:rPr>
          <w:rFonts w:ascii="Arial" w:hAnsi="Arial" w:cs="Arial"/>
          <w:sz w:val="20"/>
          <w:szCs w:val="20"/>
        </w:rPr>
        <w:t>RBI – Reserve Bank of India</w:t>
      </w:r>
    </w:p>
    <w:p w:rsidR="00EC4379" w:rsidRPr="003E31DF" w:rsidRDefault="00EC4379" w:rsidP="00EC4379">
      <w:pPr>
        <w:pStyle w:val="ListParagraph"/>
        <w:numPr>
          <w:ilvl w:val="0"/>
          <w:numId w:val="6"/>
        </w:numPr>
        <w:spacing w:line="256" w:lineRule="auto"/>
        <w:rPr>
          <w:rFonts w:ascii="Arial" w:hAnsi="Arial" w:cs="Arial"/>
          <w:sz w:val="20"/>
          <w:szCs w:val="20"/>
        </w:rPr>
      </w:pPr>
      <w:r w:rsidRPr="003E31DF">
        <w:rPr>
          <w:rFonts w:ascii="Arial" w:hAnsi="Arial" w:cs="Arial"/>
          <w:sz w:val="20"/>
          <w:szCs w:val="20"/>
        </w:rPr>
        <w:t xml:space="preserve">IRDAI- Insurance Regulatory and Development Authority of India </w:t>
      </w:r>
    </w:p>
    <w:p w:rsidR="00EC4379" w:rsidRPr="003E31DF" w:rsidRDefault="00EC4379" w:rsidP="00EC4379">
      <w:pPr>
        <w:pStyle w:val="ListParagraph"/>
        <w:numPr>
          <w:ilvl w:val="0"/>
          <w:numId w:val="6"/>
        </w:numPr>
        <w:spacing w:line="256" w:lineRule="auto"/>
        <w:rPr>
          <w:rFonts w:ascii="Arial" w:hAnsi="Arial" w:cs="Arial"/>
          <w:sz w:val="20"/>
          <w:szCs w:val="20"/>
        </w:rPr>
      </w:pPr>
      <w:r w:rsidRPr="003E31DF">
        <w:rPr>
          <w:rFonts w:ascii="Arial" w:hAnsi="Arial" w:cs="Arial"/>
          <w:sz w:val="20"/>
          <w:szCs w:val="20"/>
        </w:rPr>
        <w:t xml:space="preserve">FMC- Forward Market Commission of India </w:t>
      </w:r>
    </w:p>
    <w:p w:rsidR="00EC4379" w:rsidRPr="003E31DF" w:rsidRDefault="00EC4379" w:rsidP="00EC4379">
      <w:pPr>
        <w:pStyle w:val="ListParagraph"/>
        <w:numPr>
          <w:ilvl w:val="0"/>
          <w:numId w:val="6"/>
        </w:numPr>
        <w:spacing w:line="256" w:lineRule="auto"/>
        <w:rPr>
          <w:rFonts w:ascii="Arial" w:hAnsi="Arial" w:cs="Arial"/>
          <w:sz w:val="20"/>
          <w:szCs w:val="20"/>
        </w:rPr>
      </w:pPr>
      <w:r w:rsidRPr="003E31DF">
        <w:rPr>
          <w:rFonts w:ascii="Arial" w:hAnsi="Arial" w:cs="Arial"/>
          <w:sz w:val="20"/>
          <w:szCs w:val="20"/>
        </w:rPr>
        <w:t>PFRDA- Pension Fund Regulatory and Development Authority</w:t>
      </w:r>
    </w:p>
    <w:p w:rsidR="00EC4379" w:rsidRPr="003E31DF" w:rsidRDefault="00EC4379" w:rsidP="00EC4379">
      <w:pPr>
        <w:rPr>
          <w:rFonts w:ascii="Arial" w:hAnsi="Arial" w:cs="Arial"/>
          <w:i/>
          <w:sz w:val="20"/>
          <w:szCs w:val="20"/>
        </w:rPr>
      </w:pPr>
    </w:p>
    <w:p w:rsidR="00EC4379" w:rsidRPr="003E31DF" w:rsidRDefault="00EC4379" w:rsidP="00EC4379">
      <w:pPr>
        <w:rPr>
          <w:rFonts w:ascii="Arial" w:hAnsi="Arial" w:cs="Arial"/>
          <w:sz w:val="20"/>
          <w:szCs w:val="20"/>
        </w:rPr>
      </w:pPr>
      <w:r w:rsidRPr="003E31DF">
        <w:rPr>
          <w:rFonts w:ascii="Arial" w:hAnsi="Arial" w:cs="Arial"/>
          <w:i/>
          <w:sz w:val="20"/>
          <w:szCs w:val="20"/>
        </w:rPr>
        <w:t xml:space="preserve">iii) </w:t>
      </w:r>
      <w:proofErr w:type="gramStart"/>
      <w:r w:rsidRPr="003E31DF">
        <w:rPr>
          <w:rFonts w:ascii="Arial" w:hAnsi="Arial" w:cs="Arial"/>
          <w:i/>
          <w:sz w:val="20"/>
          <w:szCs w:val="20"/>
        </w:rPr>
        <w:t>a</w:t>
      </w:r>
      <w:proofErr w:type="gramEnd"/>
      <w:r w:rsidRPr="003E31DF">
        <w:rPr>
          <w:rFonts w:ascii="Arial" w:hAnsi="Arial" w:cs="Arial"/>
          <w:i/>
          <w:sz w:val="20"/>
          <w:szCs w:val="20"/>
        </w:rPr>
        <w:t xml:space="preserve">) Banks – </w:t>
      </w:r>
      <w:r w:rsidRPr="003E31DF">
        <w:rPr>
          <w:rFonts w:ascii="Arial" w:hAnsi="Arial" w:cs="Arial"/>
          <w:sz w:val="20"/>
          <w:szCs w:val="20"/>
        </w:rPr>
        <w:t>Reserve Bank of India</w:t>
      </w:r>
    </w:p>
    <w:p w:rsidR="00EC4379" w:rsidRPr="003E31DF" w:rsidRDefault="00EC4379" w:rsidP="00EC4379">
      <w:pPr>
        <w:rPr>
          <w:rFonts w:ascii="Arial" w:hAnsi="Arial" w:cs="Arial"/>
          <w:sz w:val="20"/>
          <w:szCs w:val="20"/>
        </w:rPr>
      </w:pPr>
      <w:r w:rsidRPr="003E31DF">
        <w:rPr>
          <w:rFonts w:ascii="Arial" w:hAnsi="Arial" w:cs="Arial"/>
          <w:i/>
          <w:sz w:val="20"/>
          <w:szCs w:val="20"/>
        </w:rPr>
        <w:t xml:space="preserve">b) Superannuation Products – </w:t>
      </w:r>
      <w:r w:rsidRPr="003E31DF">
        <w:rPr>
          <w:rFonts w:ascii="Arial" w:hAnsi="Arial" w:cs="Arial"/>
          <w:sz w:val="20"/>
          <w:szCs w:val="20"/>
        </w:rPr>
        <w:t>Insurance Regulatory and Development Authority of India</w:t>
      </w:r>
    </w:p>
    <w:p w:rsidR="00EC4379" w:rsidRPr="003E31DF" w:rsidRDefault="00EC4379" w:rsidP="00EC4379">
      <w:pPr>
        <w:rPr>
          <w:rFonts w:ascii="Arial" w:hAnsi="Arial" w:cs="Arial"/>
          <w:i/>
          <w:sz w:val="20"/>
          <w:szCs w:val="20"/>
        </w:rPr>
      </w:pPr>
      <w:r w:rsidRPr="003E31DF">
        <w:rPr>
          <w:rFonts w:ascii="Arial" w:hAnsi="Arial" w:cs="Arial"/>
          <w:i/>
          <w:sz w:val="20"/>
          <w:szCs w:val="20"/>
        </w:rPr>
        <w:t xml:space="preserve">c) General Insurance companies – </w:t>
      </w:r>
      <w:r w:rsidRPr="003E31DF">
        <w:rPr>
          <w:rFonts w:ascii="Arial" w:hAnsi="Arial" w:cs="Arial"/>
          <w:sz w:val="20"/>
          <w:szCs w:val="20"/>
        </w:rPr>
        <w:t>Insurance Regulatory and Development Authority of India</w:t>
      </w:r>
    </w:p>
    <w:p w:rsidR="00EC4379" w:rsidRPr="003E31DF" w:rsidRDefault="00EC4379" w:rsidP="00EC4379">
      <w:pPr>
        <w:rPr>
          <w:rFonts w:ascii="Arial" w:hAnsi="Arial" w:cs="Arial"/>
          <w:i/>
          <w:sz w:val="20"/>
          <w:szCs w:val="20"/>
        </w:rPr>
      </w:pPr>
      <w:r w:rsidRPr="003E31DF">
        <w:rPr>
          <w:rFonts w:ascii="Arial" w:hAnsi="Arial" w:cs="Arial"/>
          <w:i/>
          <w:sz w:val="20"/>
          <w:szCs w:val="20"/>
        </w:rPr>
        <w:lastRenderedPageBreak/>
        <w:t xml:space="preserve">d) Stock brokers – </w:t>
      </w:r>
      <w:r w:rsidRPr="003E31DF">
        <w:rPr>
          <w:rFonts w:ascii="Arial" w:hAnsi="Arial" w:cs="Arial"/>
          <w:sz w:val="20"/>
          <w:szCs w:val="20"/>
        </w:rPr>
        <w:t>Securities and Exchange Board of India</w:t>
      </w:r>
    </w:p>
    <w:p w:rsidR="00EC4379" w:rsidRPr="003E31DF" w:rsidRDefault="00EC4379" w:rsidP="00EC4379">
      <w:pPr>
        <w:rPr>
          <w:rFonts w:ascii="Arial" w:hAnsi="Arial" w:cs="Arial"/>
          <w:i/>
          <w:sz w:val="20"/>
          <w:szCs w:val="20"/>
        </w:rPr>
      </w:pPr>
      <w:proofErr w:type="gramStart"/>
      <w:r w:rsidRPr="003E31DF">
        <w:rPr>
          <w:rFonts w:ascii="Arial" w:hAnsi="Arial" w:cs="Arial"/>
          <w:i/>
          <w:sz w:val="20"/>
          <w:szCs w:val="20"/>
        </w:rPr>
        <w:t>e</w:t>
      </w:r>
      <w:proofErr w:type="gramEnd"/>
      <w:r w:rsidRPr="003E31DF">
        <w:rPr>
          <w:rFonts w:ascii="Arial" w:hAnsi="Arial" w:cs="Arial"/>
          <w:i/>
          <w:sz w:val="20"/>
          <w:szCs w:val="20"/>
        </w:rPr>
        <w:t xml:space="preserve">) Mutual Funds – </w:t>
      </w:r>
      <w:r w:rsidRPr="003E31DF">
        <w:rPr>
          <w:rFonts w:ascii="Arial" w:hAnsi="Arial" w:cs="Arial"/>
          <w:sz w:val="20"/>
          <w:szCs w:val="20"/>
        </w:rPr>
        <w:t>Securities and Exchange Board of India</w:t>
      </w:r>
    </w:p>
    <w:p w:rsidR="00EC4379" w:rsidRPr="003E31DF" w:rsidRDefault="00EC4379" w:rsidP="00EC4379">
      <w:pPr>
        <w:rPr>
          <w:rFonts w:ascii="Arial" w:hAnsi="Arial" w:cs="Arial"/>
          <w:i/>
          <w:sz w:val="20"/>
          <w:szCs w:val="20"/>
        </w:rPr>
      </w:pPr>
      <w:r w:rsidRPr="003E31DF">
        <w:rPr>
          <w:rFonts w:ascii="Arial" w:hAnsi="Arial" w:cs="Arial"/>
          <w:i/>
          <w:sz w:val="20"/>
          <w:szCs w:val="20"/>
        </w:rPr>
        <w:t xml:space="preserve">f) Market for listed securities – </w:t>
      </w:r>
      <w:r w:rsidRPr="003E31DF">
        <w:rPr>
          <w:rFonts w:ascii="Arial" w:hAnsi="Arial" w:cs="Arial"/>
          <w:sz w:val="20"/>
          <w:szCs w:val="20"/>
        </w:rPr>
        <w:t>Securities and Exchange Board of India</w:t>
      </w:r>
    </w:p>
    <w:p w:rsidR="00EC4379" w:rsidRPr="003E31DF" w:rsidRDefault="00EC4379" w:rsidP="00EC4379">
      <w:pPr>
        <w:rPr>
          <w:rFonts w:ascii="Arial" w:hAnsi="Arial" w:cs="Arial"/>
          <w:sz w:val="20"/>
          <w:szCs w:val="20"/>
        </w:rPr>
      </w:pPr>
      <w:r w:rsidRPr="003E31DF">
        <w:rPr>
          <w:rFonts w:ascii="Arial" w:hAnsi="Arial" w:cs="Arial"/>
          <w:i/>
          <w:sz w:val="20"/>
          <w:szCs w:val="20"/>
        </w:rPr>
        <w:t xml:space="preserve">g) Foreign exchange dealers </w:t>
      </w:r>
      <w:r w:rsidRPr="003E31DF">
        <w:rPr>
          <w:rFonts w:ascii="Arial" w:hAnsi="Arial" w:cs="Arial"/>
          <w:sz w:val="20"/>
          <w:szCs w:val="20"/>
        </w:rPr>
        <w:t xml:space="preserve">- </w:t>
      </w:r>
      <w:r w:rsidRPr="003E31DF">
        <w:rPr>
          <w:rStyle w:val="hgkelc"/>
          <w:rFonts w:ascii="Arial" w:hAnsi="Arial" w:cs="Arial"/>
          <w:bCs/>
          <w:sz w:val="20"/>
          <w:szCs w:val="20"/>
        </w:rPr>
        <w:t>Foreign Exchange Dealers</w:t>
      </w:r>
      <w:r w:rsidRPr="003E31DF">
        <w:rPr>
          <w:rStyle w:val="hgkelc"/>
          <w:rFonts w:ascii="Arial" w:hAnsi="Arial" w:cs="Arial"/>
          <w:sz w:val="20"/>
          <w:szCs w:val="20"/>
        </w:rPr>
        <w:t xml:space="preserve"> Association of </w:t>
      </w:r>
      <w:r w:rsidRPr="003E31DF">
        <w:rPr>
          <w:rStyle w:val="hgkelc"/>
          <w:rFonts w:ascii="Arial" w:hAnsi="Arial" w:cs="Arial"/>
          <w:bCs/>
          <w:sz w:val="20"/>
          <w:szCs w:val="20"/>
        </w:rPr>
        <w:t>India</w:t>
      </w:r>
      <w:r w:rsidRPr="003E31DF">
        <w:rPr>
          <w:rStyle w:val="hgkelc"/>
          <w:rFonts w:ascii="Arial" w:hAnsi="Arial" w:cs="Arial"/>
          <w:sz w:val="20"/>
          <w:szCs w:val="20"/>
        </w:rPr>
        <w:t xml:space="preserve"> </w:t>
      </w:r>
    </w:p>
    <w:p w:rsidR="00EC4379" w:rsidRPr="003E31DF" w:rsidRDefault="00EC4379" w:rsidP="00EC4379">
      <w:pPr>
        <w:rPr>
          <w:rFonts w:ascii="Arial" w:hAnsi="Arial" w:cs="Arial"/>
          <w:i/>
          <w:sz w:val="20"/>
          <w:szCs w:val="20"/>
        </w:rPr>
      </w:pPr>
      <w:r w:rsidRPr="003E31DF">
        <w:rPr>
          <w:rFonts w:ascii="Arial" w:hAnsi="Arial" w:cs="Arial"/>
          <w:i/>
          <w:sz w:val="20"/>
          <w:szCs w:val="20"/>
        </w:rPr>
        <w:t xml:space="preserve">h) Money changers - </w:t>
      </w:r>
      <w:r w:rsidRPr="003E31DF">
        <w:rPr>
          <w:rFonts w:ascii="Arial" w:hAnsi="Arial" w:cs="Arial"/>
          <w:sz w:val="20"/>
          <w:szCs w:val="20"/>
        </w:rPr>
        <w:t>Reserve Bank of India</w:t>
      </w:r>
    </w:p>
    <w:p w:rsidR="00EC4379" w:rsidRPr="003E31DF" w:rsidRDefault="004C1AE3" w:rsidP="00EC4379">
      <w:pPr>
        <w:pStyle w:val="ListParagraph"/>
        <w:numPr>
          <w:ilvl w:val="0"/>
          <w:numId w:val="1"/>
        </w:numPr>
        <w:rPr>
          <w:rFonts w:ascii="Arial" w:hAnsi="Arial" w:cs="Arial"/>
          <w:sz w:val="20"/>
          <w:szCs w:val="20"/>
        </w:rPr>
      </w:pPr>
      <w:proofErr w:type="gramStart"/>
      <w:r w:rsidRPr="003E31DF">
        <w:rPr>
          <w:rFonts w:ascii="Arial" w:hAnsi="Arial" w:cs="Arial"/>
          <w:sz w:val="20"/>
          <w:szCs w:val="20"/>
        </w:rPr>
        <w:t>I)</w:t>
      </w:r>
      <w:r w:rsidR="0046490A" w:rsidRPr="003E31DF">
        <w:rPr>
          <w:rFonts w:ascii="Arial" w:hAnsi="Arial" w:cs="Arial"/>
          <w:sz w:val="20"/>
          <w:szCs w:val="20"/>
        </w:rPr>
        <w:t>The</w:t>
      </w:r>
      <w:proofErr w:type="gramEnd"/>
      <w:r w:rsidR="0046490A" w:rsidRPr="003E31DF">
        <w:rPr>
          <w:rFonts w:ascii="Arial" w:hAnsi="Arial" w:cs="Arial"/>
          <w:sz w:val="20"/>
          <w:szCs w:val="20"/>
        </w:rPr>
        <w:t xml:space="preserve"> cost concept states that all transactions and all assets should be recorded at their historic value (the amount paid) and not their fair value.</w:t>
      </w:r>
    </w:p>
    <w:p w:rsidR="0046490A" w:rsidRPr="003E31DF" w:rsidRDefault="0046490A" w:rsidP="0046490A">
      <w:pPr>
        <w:pStyle w:val="ListParagraph"/>
        <w:rPr>
          <w:rFonts w:ascii="Arial" w:hAnsi="Arial" w:cs="Arial"/>
          <w:sz w:val="20"/>
          <w:szCs w:val="20"/>
        </w:rPr>
      </w:pPr>
      <w:r w:rsidRPr="003E31DF">
        <w:rPr>
          <w:rFonts w:ascii="Arial" w:hAnsi="Arial" w:cs="Arial"/>
          <w:sz w:val="20"/>
          <w:szCs w:val="20"/>
        </w:rPr>
        <w:t>The going concern concept states that the business should be treated and operated in a manner that assumes the business to run for a long time.</w:t>
      </w:r>
    </w:p>
    <w:p w:rsidR="004C1AE3" w:rsidRPr="003E31DF" w:rsidRDefault="004C1AE3" w:rsidP="0046490A">
      <w:pPr>
        <w:pStyle w:val="ListParagraph"/>
        <w:rPr>
          <w:rFonts w:ascii="Arial" w:hAnsi="Arial" w:cs="Arial"/>
          <w:sz w:val="20"/>
          <w:szCs w:val="20"/>
        </w:rPr>
      </w:pPr>
      <w:r w:rsidRPr="003E31DF">
        <w:rPr>
          <w:rFonts w:ascii="Arial" w:hAnsi="Arial" w:cs="Arial"/>
          <w:sz w:val="20"/>
          <w:szCs w:val="20"/>
        </w:rPr>
        <w:t>ii</w:t>
      </w:r>
      <w:proofErr w:type="gramStart"/>
      <w:r w:rsidRPr="003E31DF">
        <w:rPr>
          <w:rFonts w:ascii="Arial" w:hAnsi="Arial" w:cs="Arial"/>
          <w:sz w:val="20"/>
          <w:szCs w:val="20"/>
        </w:rPr>
        <w:t>)The</w:t>
      </w:r>
      <w:proofErr w:type="gramEnd"/>
      <w:r w:rsidRPr="003E31DF">
        <w:rPr>
          <w:rFonts w:ascii="Arial" w:hAnsi="Arial" w:cs="Arial"/>
          <w:sz w:val="20"/>
          <w:szCs w:val="20"/>
        </w:rPr>
        <w:t xml:space="preserve"> board of directors should value the transaction at fair value to give the shareholders a reasonable figure. </w:t>
      </w:r>
    </w:p>
    <w:p w:rsidR="004C1AE3" w:rsidRPr="003E31DF" w:rsidRDefault="004C1AE3" w:rsidP="0046490A">
      <w:pPr>
        <w:pStyle w:val="ListParagraph"/>
        <w:rPr>
          <w:rFonts w:ascii="Arial" w:hAnsi="Arial" w:cs="Arial"/>
          <w:sz w:val="20"/>
          <w:szCs w:val="20"/>
        </w:rPr>
      </w:pPr>
      <w:r w:rsidRPr="003E31DF">
        <w:rPr>
          <w:rFonts w:ascii="Arial" w:hAnsi="Arial" w:cs="Arial"/>
          <w:sz w:val="20"/>
          <w:szCs w:val="20"/>
        </w:rPr>
        <w:t>iii</w:t>
      </w:r>
      <w:proofErr w:type="gramStart"/>
      <w:r w:rsidRPr="003E31DF">
        <w:rPr>
          <w:rFonts w:ascii="Arial" w:hAnsi="Arial" w:cs="Arial"/>
          <w:sz w:val="20"/>
          <w:szCs w:val="20"/>
        </w:rPr>
        <w:t>)This</w:t>
      </w:r>
      <w:proofErr w:type="gramEnd"/>
      <w:r w:rsidRPr="003E31DF">
        <w:rPr>
          <w:rFonts w:ascii="Arial" w:hAnsi="Arial" w:cs="Arial"/>
          <w:sz w:val="20"/>
          <w:szCs w:val="20"/>
        </w:rPr>
        <w:t xml:space="preserve"> will be true in the short term as this would indicate that the company is performing well. But as the shareholders and the stock markets realise that the improved numbers were due to change in policy and not due to better </w:t>
      </w:r>
      <w:r w:rsidR="00D627C8" w:rsidRPr="003E31DF">
        <w:rPr>
          <w:rFonts w:ascii="Arial" w:hAnsi="Arial" w:cs="Arial"/>
          <w:sz w:val="20"/>
          <w:szCs w:val="20"/>
        </w:rPr>
        <w:t>performance, the share price will correct itself and this will impact negatively on the reputation of the company.</w:t>
      </w:r>
    </w:p>
    <w:p w:rsidR="00D627C8" w:rsidRPr="003E31DF" w:rsidRDefault="00D627C8" w:rsidP="00D627C8">
      <w:pPr>
        <w:rPr>
          <w:rFonts w:ascii="Arial" w:hAnsi="Arial" w:cs="Arial"/>
          <w:sz w:val="20"/>
          <w:szCs w:val="20"/>
        </w:rPr>
      </w:pPr>
    </w:p>
    <w:p w:rsidR="00D627C8" w:rsidRPr="003E31DF" w:rsidRDefault="000C5A9B" w:rsidP="00D627C8">
      <w:pPr>
        <w:pStyle w:val="ListParagraph"/>
        <w:numPr>
          <w:ilvl w:val="0"/>
          <w:numId w:val="1"/>
        </w:numPr>
        <w:rPr>
          <w:rFonts w:ascii="Arial" w:hAnsi="Arial" w:cs="Arial"/>
          <w:sz w:val="20"/>
          <w:szCs w:val="20"/>
        </w:rPr>
      </w:pPr>
      <w:r w:rsidRPr="003E31DF">
        <w:rPr>
          <w:rFonts w:ascii="Arial" w:hAnsi="Arial" w:cs="Arial"/>
          <w:sz w:val="20"/>
          <w:szCs w:val="20"/>
        </w:rPr>
        <w:t>The answer is as following:</w:t>
      </w:r>
    </w:p>
    <w:p w:rsidR="000C5A9B" w:rsidRPr="003E31DF" w:rsidRDefault="000C5A9B" w:rsidP="000C5A9B">
      <w:pPr>
        <w:rPr>
          <w:rFonts w:ascii="Arial" w:hAnsi="Arial" w:cs="Arial"/>
          <w:i/>
          <w:sz w:val="20"/>
          <w:szCs w:val="20"/>
        </w:rPr>
      </w:pPr>
      <w:r w:rsidRPr="003E31DF">
        <w:rPr>
          <w:rFonts w:ascii="Arial" w:hAnsi="Arial" w:cs="Arial"/>
          <w:i/>
          <w:sz w:val="20"/>
          <w:szCs w:val="20"/>
        </w:rPr>
        <w:t>a) Investment Bank</w:t>
      </w:r>
    </w:p>
    <w:p w:rsidR="000C5A9B" w:rsidRPr="003E31DF" w:rsidRDefault="000C5A9B" w:rsidP="000C5A9B">
      <w:pPr>
        <w:rPr>
          <w:rFonts w:ascii="Arial" w:hAnsi="Arial" w:cs="Arial"/>
          <w:sz w:val="20"/>
          <w:szCs w:val="20"/>
        </w:rPr>
      </w:pPr>
      <w:r w:rsidRPr="003E31DF">
        <w:rPr>
          <w:rFonts w:ascii="Arial" w:hAnsi="Arial" w:cs="Arial"/>
          <w:sz w:val="20"/>
          <w:szCs w:val="20"/>
        </w:rPr>
        <w:t>Role: An investment bank is a financial institution that performs multiple functions.</w:t>
      </w:r>
    </w:p>
    <w:p w:rsidR="000C5A9B" w:rsidRPr="003E31DF" w:rsidRDefault="000C5A9B" w:rsidP="000C5A9B">
      <w:pPr>
        <w:pStyle w:val="ListParagraph"/>
        <w:numPr>
          <w:ilvl w:val="0"/>
          <w:numId w:val="7"/>
        </w:numPr>
        <w:rPr>
          <w:rFonts w:ascii="Arial" w:hAnsi="Arial" w:cs="Arial"/>
          <w:sz w:val="20"/>
          <w:szCs w:val="20"/>
        </w:rPr>
      </w:pPr>
      <w:r w:rsidRPr="003E31DF">
        <w:rPr>
          <w:rFonts w:ascii="Arial" w:hAnsi="Arial" w:cs="Arial"/>
          <w:sz w:val="20"/>
          <w:szCs w:val="20"/>
        </w:rPr>
        <w:t xml:space="preserve">Acts as a broker for large, complex transactions </w:t>
      </w:r>
      <w:proofErr w:type="spellStart"/>
      <w:r w:rsidRPr="003E31DF">
        <w:rPr>
          <w:rFonts w:ascii="Arial" w:hAnsi="Arial" w:cs="Arial"/>
          <w:sz w:val="20"/>
          <w:szCs w:val="20"/>
        </w:rPr>
        <w:t>eg</w:t>
      </w:r>
      <w:proofErr w:type="spellEnd"/>
      <w:r w:rsidRPr="003E31DF">
        <w:rPr>
          <w:rFonts w:ascii="Arial" w:hAnsi="Arial" w:cs="Arial"/>
          <w:sz w:val="20"/>
          <w:szCs w:val="20"/>
        </w:rPr>
        <w:t xml:space="preserve"> - merger</w:t>
      </w:r>
    </w:p>
    <w:p w:rsidR="000C5A9B" w:rsidRPr="003E31DF" w:rsidRDefault="000C5A9B" w:rsidP="000C5A9B">
      <w:pPr>
        <w:pStyle w:val="ListParagraph"/>
        <w:numPr>
          <w:ilvl w:val="0"/>
          <w:numId w:val="7"/>
        </w:numPr>
        <w:rPr>
          <w:rFonts w:ascii="Arial" w:hAnsi="Arial" w:cs="Arial"/>
          <w:sz w:val="20"/>
          <w:szCs w:val="20"/>
        </w:rPr>
      </w:pPr>
      <w:r w:rsidRPr="003E31DF">
        <w:rPr>
          <w:rFonts w:ascii="Arial" w:hAnsi="Arial" w:cs="Arial"/>
          <w:sz w:val="20"/>
          <w:szCs w:val="20"/>
        </w:rPr>
        <w:t>Assists start-ups while they are going public (IPO) or raising funds.</w:t>
      </w:r>
    </w:p>
    <w:p w:rsidR="000C5A9B" w:rsidRPr="003E31DF" w:rsidRDefault="000C5A9B" w:rsidP="000C5A9B">
      <w:pPr>
        <w:pStyle w:val="ListParagraph"/>
        <w:numPr>
          <w:ilvl w:val="0"/>
          <w:numId w:val="7"/>
        </w:numPr>
        <w:rPr>
          <w:rFonts w:ascii="Arial" w:hAnsi="Arial" w:cs="Arial"/>
          <w:sz w:val="20"/>
          <w:szCs w:val="20"/>
        </w:rPr>
      </w:pPr>
      <w:r w:rsidRPr="003E31DF">
        <w:rPr>
          <w:rFonts w:ascii="Arial" w:hAnsi="Arial" w:cs="Arial"/>
          <w:sz w:val="20"/>
          <w:szCs w:val="20"/>
        </w:rPr>
        <w:t>Investments banks often act as an advisor for large institutions and some banks also manage funds for their clients.</w:t>
      </w:r>
    </w:p>
    <w:p w:rsidR="000C5A9B" w:rsidRPr="003E31DF" w:rsidRDefault="000C5A9B" w:rsidP="000C5A9B">
      <w:pPr>
        <w:rPr>
          <w:rFonts w:ascii="Arial" w:hAnsi="Arial" w:cs="Arial"/>
          <w:sz w:val="20"/>
          <w:szCs w:val="20"/>
        </w:rPr>
      </w:pPr>
      <w:r w:rsidRPr="003E31DF">
        <w:rPr>
          <w:rFonts w:ascii="Arial" w:hAnsi="Arial" w:cs="Arial"/>
          <w:sz w:val="20"/>
          <w:szCs w:val="20"/>
        </w:rPr>
        <w:t>Source of funds: Investment banks do not require major funds as its main activity is being a broker. However, the capital that flows in is from large institutions and industrialists who have spare cash and are looking to invest.</w:t>
      </w:r>
    </w:p>
    <w:p w:rsidR="000C5A9B" w:rsidRPr="003E31DF" w:rsidRDefault="000C5A9B" w:rsidP="000C5A9B">
      <w:pPr>
        <w:rPr>
          <w:rFonts w:ascii="Arial" w:hAnsi="Arial" w:cs="Arial"/>
          <w:sz w:val="20"/>
          <w:szCs w:val="20"/>
        </w:rPr>
      </w:pPr>
      <w:r w:rsidRPr="003E31DF">
        <w:rPr>
          <w:rFonts w:ascii="Arial" w:hAnsi="Arial" w:cs="Arial"/>
          <w:sz w:val="20"/>
          <w:szCs w:val="20"/>
        </w:rPr>
        <w:t>Application of funds: These funds are then given to clients who are looking to raise money. This is how a transaction goes through and the investment bank makes it profit in the form of commission/brokerage for the transaction.</w:t>
      </w:r>
    </w:p>
    <w:p w:rsidR="000C5A9B" w:rsidRPr="003E31DF" w:rsidRDefault="000C5A9B" w:rsidP="000C5A9B">
      <w:pPr>
        <w:rPr>
          <w:rFonts w:ascii="Arial" w:hAnsi="Arial" w:cs="Arial"/>
          <w:i/>
          <w:sz w:val="20"/>
          <w:szCs w:val="20"/>
        </w:rPr>
      </w:pPr>
      <w:r w:rsidRPr="003E31DF">
        <w:rPr>
          <w:rFonts w:ascii="Arial" w:hAnsi="Arial" w:cs="Arial"/>
          <w:i/>
          <w:sz w:val="20"/>
          <w:szCs w:val="20"/>
        </w:rPr>
        <w:t>b) Pension Scheme</w:t>
      </w:r>
    </w:p>
    <w:p w:rsidR="000C5A9B" w:rsidRPr="003E31DF" w:rsidRDefault="000C5A9B" w:rsidP="000C5A9B">
      <w:pPr>
        <w:rPr>
          <w:rFonts w:ascii="Arial" w:hAnsi="Arial" w:cs="Arial"/>
          <w:sz w:val="20"/>
          <w:szCs w:val="20"/>
        </w:rPr>
      </w:pPr>
      <w:r w:rsidRPr="003E31DF">
        <w:rPr>
          <w:rFonts w:ascii="Arial" w:hAnsi="Arial" w:cs="Arial"/>
          <w:sz w:val="20"/>
          <w:szCs w:val="20"/>
        </w:rPr>
        <w:t>Role: A pension scheme is taken out by individuals for financial support post-retirement. They have to pay a certain proportion of their income while they are earning, in exchange of which they get a continuous stream of payments when they retire. I</w:t>
      </w:r>
    </w:p>
    <w:p w:rsidR="000C5A9B" w:rsidRPr="003E31DF" w:rsidRDefault="000C5A9B" w:rsidP="000C5A9B">
      <w:pPr>
        <w:rPr>
          <w:rFonts w:ascii="Arial" w:hAnsi="Arial" w:cs="Arial"/>
          <w:sz w:val="20"/>
          <w:szCs w:val="20"/>
        </w:rPr>
      </w:pPr>
      <w:r w:rsidRPr="003E31DF">
        <w:rPr>
          <w:rFonts w:ascii="Arial" w:hAnsi="Arial" w:cs="Arial"/>
          <w:sz w:val="20"/>
          <w:szCs w:val="20"/>
        </w:rPr>
        <w:t xml:space="preserve">Source of funds: The cash reserve of a pension company is built by the accumulation of premiums that their customers pay in exchange of the payments received in the </w:t>
      </w:r>
      <w:proofErr w:type="spellStart"/>
      <w:r w:rsidRPr="003E31DF">
        <w:rPr>
          <w:rFonts w:ascii="Arial" w:hAnsi="Arial" w:cs="Arial"/>
          <w:sz w:val="20"/>
          <w:szCs w:val="20"/>
        </w:rPr>
        <w:t>annuitization</w:t>
      </w:r>
      <w:proofErr w:type="spellEnd"/>
      <w:r w:rsidRPr="003E31DF">
        <w:rPr>
          <w:rFonts w:ascii="Arial" w:hAnsi="Arial" w:cs="Arial"/>
          <w:sz w:val="20"/>
          <w:szCs w:val="20"/>
        </w:rPr>
        <w:t xml:space="preserve"> phase.</w:t>
      </w:r>
    </w:p>
    <w:p w:rsidR="000C5A9B" w:rsidRPr="003E31DF" w:rsidRDefault="000C5A9B" w:rsidP="000C5A9B">
      <w:pPr>
        <w:rPr>
          <w:rFonts w:ascii="Arial" w:hAnsi="Arial" w:cs="Arial"/>
          <w:sz w:val="20"/>
          <w:szCs w:val="20"/>
        </w:rPr>
      </w:pPr>
      <w:r w:rsidRPr="003E31DF">
        <w:rPr>
          <w:rFonts w:ascii="Arial" w:hAnsi="Arial" w:cs="Arial"/>
          <w:sz w:val="20"/>
          <w:szCs w:val="20"/>
        </w:rPr>
        <w:t>Application of funds: These funds are accumulated to form a pool of funds. Majority of the funds are invested into the capital markets to gain interest and make money. The rest of it is kept with the company as cash reserve in order to meet day-to-day expenses as well as to smoothly continue paying the pension payments to the customers.</w:t>
      </w:r>
    </w:p>
    <w:p w:rsidR="000C5A9B" w:rsidRPr="003E31DF" w:rsidRDefault="000C5A9B" w:rsidP="000C5A9B">
      <w:pPr>
        <w:rPr>
          <w:rFonts w:ascii="Arial" w:hAnsi="Arial" w:cs="Arial"/>
          <w:b/>
          <w:i/>
          <w:sz w:val="20"/>
          <w:szCs w:val="20"/>
        </w:rPr>
      </w:pPr>
    </w:p>
    <w:p w:rsidR="000C5A9B" w:rsidRPr="003E31DF" w:rsidRDefault="000C5A9B" w:rsidP="000C5A9B">
      <w:pPr>
        <w:rPr>
          <w:rFonts w:ascii="Arial" w:hAnsi="Arial" w:cs="Arial"/>
          <w:i/>
          <w:sz w:val="20"/>
          <w:szCs w:val="20"/>
        </w:rPr>
      </w:pPr>
      <w:r w:rsidRPr="003E31DF">
        <w:rPr>
          <w:rFonts w:ascii="Arial" w:hAnsi="Arial" w:cs="Arial"/>
          <w:i/>
          <w:sz w:val="20"/>
          <w:szCs w:val="20"/>
        </w:rPr>
        <w:t>c) Life Insurance Company</w:t>
      </w:r>
    </w:p>
    <w:p w:rsidR="000C5A9B" w:rsidRPr="003E31DF" w:rsidRDefault="000C5A9B" w:rsidP="000C5A9B">
      <w:pPr>
        <w:rPr>
          <w:rFonts w:ascii="Arial" w:hAnsi="Arial" w:cs="Arial"/>
          <w:sz w:val="20"/>
          <w:szCs w:val="20"/>
        </w:rPr>
      </w:pPr>
      <w:r w:rsidRPr="003E31DF">
        <w:rPr>
          <w:rFonts w:ascii="Arial" w:hAnsi="Arial" w:cs="Arial"/>
          <w:sz w:val="20"/>
          <w:szCs w:val="20"/>
        </w:rPr>
        <w:lastRenderedPageBreak/>
        <w:t>Role: A life insurance company provides insurance coverage and financial security to individuals by insuring their lives against death. Now, there are various products offered by life insurance companies that can protect an individual in various circumstances.</w:t>
      </w:r>
    </w:p>
    <w:p w:rsidR="000C5A9B" w:rsidRPr="003E31DF" w:rsidRDefault="000C5A9B" w:rsidP="000C5A9B">
      <w:pPr>
        <w:rPr>
          <w:rFonts w:ascii="Arial" w:hAnsi="Arial" w:cs="Arial"/>
          <w:sz w:val="20"/>
          <w:szCs w:val="20"/>
        </w:rPr>
      </w:pPr>
      <w:r w:rsidRPr="003E31DF">
        <w:rPr>
          <w:rFonts w:ascii="Arial" w:hAnsi="Arial" w:cs="Arial"/>
          <w:sz w:val="20"/>
          <w:szCs w:val="20"/>
        </w:rPr>
        <w:t>Source of funds: The cash reserve of a life insurance company is built by the accumulation of premiums that their customers pay in exchange of protection.</w:t>
      </w:r>
    </w:p>
    <w:p w:rsidR="000C5A9B" w:rsidRPr="003E31DF" w:rsidRDefault="000C5A9B" w:rsidP="000C5A9B">
      <w:pPr>
        <w:rPr>
          <w:rFonts w:ascii="Arial" w:hAnsi="Arial" w:cs="Arial"/>
          <w:sz w:val="20"/>
          <w:szCs w:val="20"/>
        </w:rPr>
      </w:pPr>
      <w:r w:rsidRPr="003E31DF">
        <w:rPr>
          <w:rFonts w:ascii="Arial" w:hAnsi="Arial" w:cs="Arial"/>
          <w:sz w:val="20"/>
          <w:szCs w:val="20"/>
        </w:rPr>
        <w:t>Application of funds: These funds are accumulated to form a pool of funds. Part of the pool is invested into the capital markets to gain interest and make money. The rest of it is kept with the company as cash reserve in order to meet any claims that arise.</w:t>
      </w:r>
    </w:p>
    <w:p w:rsidR="000C5A9B" w:rsidRPr="003E31DF" w:rsidRDefault="000C5A9B" w:rsidP="000C5A9B">
      <w:pPr>
        <w:pStyle w:val="ListParagraph"/>
        <w:rPr>
          <w:rFonts w:ascii="Arial" w:hAnsi="Arial" w:cs="Arial"/>
          <w:sz w:val="20"/>
          <w:szCs w:val="20"/>
        </w:rPr>
      </w:pPr>
    </w:p>
    <w:p w:rsidR="00D627C8" w:rsidRPr="003E31DF" w:rsidRDefault="00D627C8" w:rsidP="00D627C8">
      <w:pPr>
        <w:rPr>
          <w:rFonts w:ascii="Arial" w:hAnsi="Arial" w:cs="Arial"/>
          <w:sz w:val="20"/>
          <w:szCs w:val="20"/>
        </w:rPr>
      </w:pPr>
    </w:p>
    <w:p w:rsidR="00D627C8" w:rsidRPr="003E31DF" w:rsidRDefault="00D627C8" w:rsidP="00D627C8">
      <w:pPr>
        <w:pStyle w:val="ListParagraph"/>
        <w:numPr>
          <w:ilvl w:val="0"/>
          <w:numId w:val="1"/>
        </w:numPr>
        <w:rPr>
          <w:rFonts w:ascii="Arial" w:hAnsi="Arial" w:cs="Arial"/>
          <w:sz w:val="20"/>
          <w:szCs w:val="20"/>
        </w:rPr>
      </w:pPr>
      <w:r w:rsidRPr="003E31DF">
        <w:rPr>
          <w:rFonts w:ascii="Arial" w:hAnsi="Arial" w:cs="Arial"/>
          <w:sz w:val="20"/>
          <w:szCs w:val="20"/>
        </w:rPr>
        <w:t>The following shall be the challenges</w:t>
      </w:r>
      <w:proofErr w:type="gramStart"/>
      <w:r w:rsidRPr="003E31DF">
        <w:rPr>
          <w:rFonts w:ascii="Arial" w:hAnsi="Arial" w:cs="Arial"/>
          <w:sz w:val="20"/>
          <w:szCs w:val="20"/>
        </w:rPr>
        <w:t>:</w:t>
      </w:r>
      <w:proofErr w:type="gramEnd"/>
      <w:r w:rsidRPr="003E31DF">
        <w:rPr>
          <w:rFonts w:ascii="Arial" w:hAnsi="Arial" w:cs="Arial"/>
          <w:sz w:val="20"/>
          <w:szCs w:val="20"/>
        </w:rPr>
        <w:br/>
        <w:t>The regulators might require the companies to report their financials in different ways.</w:t>
      </w:r>
      <w:r w:rsidRPr="003E31DF">
        <w:rPr>
          <w:rFonts w:ascii="Arial" w:hAnsi="Arial" w:cs="Arial"/>
          <w:sz w:val="20"/>
          <w:szCs w:val="20"/>
        </w:rPr>
        <w:br/>
        <w:t>The regulators may suggest different accounting policies</w:t>
      </w:r>
      <w:r w:rsidRPr="003E31DF">
        <w:rPr>
          <w:rFonts w:ascii="Arial" w:hAnsi="Arial" w:cs="Arial"/>
          <w:sz w:val="20"/>
          <w:szCs w:val="20"/>
        </w:rPr>
        <w:br/>
      </w:r>
      <w:proofErr w:type="gramStart"/>
      <w:r w:rsidRPr="003E31DF">
        <w:rPr>
          <w:rFonts w:ascii="Arial" w:hAnsi="Arial" w:cs="Arial"/>
          <w:sz w:val="20"/>
          <w:szCs w:val="20"/>
        </w:rPr>
        <w:t>The</w:t>
      </w:r>
      <w:proofErr w:type="gramEnd"/>
      <w:r w:rsidRPr="003E31DF">
        <w:rPr>
          <w:rFonts w:ascii="Arial" w:hAnsi="Arial" w:cs="Arial"/>
          <w:sz w:val="20"/>
          <w:szCs w:val="20"/>
        </w:rPr>
        <w:t xml:space="preserve"> regulators might ask their companies to prepare a different set of accounts.</w:t>
      </w:r>
      <w:r w:rsidRPr="003E31DF">
        <w:rPr>
          <w:rFonts w:ascii="Arial" w:hAnsi="Arial" w:cs="Arial"/>
          <w:sz w:val="20"/>
          <w:szCs w:val="20"/>
        </w:rPr>
        <w:br/>
        <w:t>Hence, it is only logical that a life insurance company should be analysed by comparing it with another life insurance company only. And the same applies for a general insurance firm.</w:t>
      </w:r>
      <w:r w:rsidRPr="003E31DF">
        <w:rPr>
          <w:rFonts w:ascii="Arial" w:hAnsi="Arial" w:cs="Arial"/>
          <w:sz w:val="20"/>
          <w:szCs w:val="20"/>
        </w:rPr>
        <w:br/>
      </w:r>
    </w:p>
    <w:p w:rsidR="0046490A" w:rsidRPr="003E31DF" w:rsidRDefault="0046490A" w:rsidP="009640B5">
      <w:pPr>
        <w:rPr>
          <w:rFonts w:ascii="Arial" w:hAnsi="Arial" w:cs="Arial"/>
          <w:sz w:val="20"/>
          <w:szCs w:val="20"/>
        </w:rPr>
      </w:pPr>
    </w:p>
    <w:p w:rsidR="008C07E6" w:rsidRPr="003E31DF" w:rsidRDefault="008C07E6" w:rsidP="008C07E6">
      <w:pPr>
        <w:pStyle w:val="ListParagraph"/>
        <w:numPr>
          <w:ilvl w:val="0"/>
          <w:numId w:val="1"/>
        </w:numPr>
        <w:tabs>
          <w:tab w:val="left" w:pos="2330"/>
        </w:tabs>
        <w:rPr>
          <w:rFonts w:ascii="Arial" w:hAnsi="Arial" w:cs="Arial"/>
          <w:sz w:val="20"/>
          <w:szCs w:val="20"/>
        </w:rPr>
      </w:pPr>
      <w:proofErr w:type="spellStart"/>
      <w:proofErr w:type="gramStart"/>
      <w:r w:rsidRPr="003E31DF">
        <w:rPr>
          <w:rFonts w:ascii="Arial" w:hAnsi="Arial" w:cs="Arial"/>
          <w:sz w:val="20"/>
          <w:szCs w:val="20"/>
        </w:rPr>
        <w:t>i</w:t>
      </w:r>
      <w:proofErr w:type="spellEnd"/>
      <w:r w:rsidRPr="003E31DF">
        <w:rPr>
          <w:rFonts w:ascii="Arial" w:hAnsi="Arial" w:cs="Arial"/>
          <w:sz w:val="20"/>
          <w:szCs w:val="20"/>
        </w:rPr>
        <w:t>)Unlike</w:t>
      </w:r>
      <w:proofErr w:type="gramEnd"/>
      <w:r w:rsidRPr="003E31DF">
        <w:rPr>
          <w:rFonts w:ascii="Arial" w:hAnsi="Arial" w:cs="Arial"/>
          <w:sz w:val="20"/>
          <w:szCs w:val="20"/>
        </w:rPr>
        <w:t xml:space="preserve"> other companies, insurance companies do not have a particular service/product they sell for money. Insurance companies collect premiums over a period of time in exchange of a claim usually paid out on the occurrence of a certain event in the future. Insurance companies also invest the premiums into various instruments for long-term policies. Hence, insurance companies need to create reserves for the payments they will have to make in the future and calculate the profit on the basis of change in these reserves.</w:t>
      </w:r>
      <w:r w:rsidRPr="003E31DF">
        <w:rPr>
          <w:rFonts w:ascii="Arial" w:hAnsi="Arial" w:cs="Arial"/>
          <w:sz w:val="20"/>
          <w:szCs w:val="20"/>
        </w:rPr>
        <w:br/>
      </w:r>
      <w:r w:rsidRPr="003E31DF">
        <w:rPr>
          <w:rFonts w:ascii="Arial" w:hAnsi="Arial" w:cs="Arial"/>
          <w:sz w:val="20"/>
          <w:szCs w:val="20"/>
        </w:rPr>
        <w:br/>
        <w:t>ii</w:t>
      </w:r>
      <w:proofErr w:type="gramStart"/>
      <w:r w:rsidRPr="003E31DF">
        <w:rPr>
          <w:rFonts w:ascii="Arial" w:hAnsi="Arial" w:cs="Arial"/>
          <w:sz w:val="20"/>
          <w:szCs w:val="20"/>
        </w:rPr>
        <w:t>)</w:t>
      </w:r>
      <w:r w:rsidR="00CC4CA5" w:rsidRPr="003E31DF">
        <w:rPr>
          <w:rFonts w:ascii="Arial" w:hAnsi="Arial" w:cs="Arial"/>
          <w:sz w:val="20"/>
          <w:szCs w:val="20"/>
        </w:rPr>
        <w:t>The</w:t>
      </w:r>
      <w:proofErr w:type="gramEnd"/>
      <w:r w:rsidR="00CC4CA5" w:rsidRPr="003E31DF">
        <w:rPr>
          <w:rFonts w:ascii="Arial" w:hAnsi="Arial" w:cs="Arial"/>
          <w:sz w:val="20"/>
          <w:szCs w:val="20"/>
        </w:rPr>
        <w:t xml:space="preserve"> ‘claims equalisation reserve</w:t>
      </w:r>
      <w:r w:rsidR="00641FD1" w:rsidRPr="003E31DF">
        <w:rPr>
          <w:rFonts w:ascii="Arial" w:hAnsi="Arial" w:cs="Arial"/>
          <w:sz w:val="20"/>
          <w:szCs w:val="20"/>
        </w:rPr>
        <w:t>’</w:t>
      </w:r>
      <w:r w:rsidR="00CC4CA5" w:rsidRPr="003E31DF">
        <w:rPr>
          <w:rFonts w:ascii="Arial" w:hAnsi="Arial" w:cs="Arial"/>
          <w:sz w:val="20"/>
          <w:szCs w:val="20"/>
        </w:rPr>
        <w:t xml:space="preserve"> is a reserve made by general insurance companies for smooth payment of claims.</w:t>
      </w:r>
      <w:r w:rsidR="00CC4CA5" w:rsidRPr="003E31DF">
        <w:rPr>
          <w:rFonts w:ascii="Arial" w:hAnsi="Arial" w:cs="Arial"/>
          <w:sz w:val="20"/>
          <w:szCs w:val="20"/>
        </w:rPr>
        <w:br/>
      </w:r>
      <w:r w:rsidR="00641FD1" w:rsidRPr="003E31DF">
        <w:rPr>
          <w:rFonts w:ascii="Arial" w:hAnsi="Arial" w:cs="Arial"/>
          <w:sz w:val="20"/>
          <w:szCs w:val="20"/>
        </w:rPr>
        <w:t>The ‘fund for future appropriations’ is a reserve made out of the funds which haven’t been allocated to the shareholders/policyholders. This is generally applicable to life insurance businesses.</w:t>
      </w:r>
    </w:p>
    <w:p w:rsidR="000C5A9B" w:rsidRPr="003E31DF" w:rsidRDefault="000C5A9B" w:rsidP="000C5A9B">
      <w:pPr>
        <w:pStyle w:val="ListParagraph"/>
        <w:rPr>
          <w:rFonts w:ascii="Arial" w:hAnsi="Arial" w:cs="Arial"/>
          <w:sz w:val="20"/>
          <w:szCs w:val="20"/>
        </w:rPr>
      </w:pPr>
    </w:p>
    <w:p w:rsidR="008B1C1F" w:rsidRPr="003E31DF" w:rsidRDefault="008B1C1F" w:rsidP="000C5A9B">
      <w:pPr>
        <w:pStyle w:val="ListParagraph"/>
        <w:numPr>
          <w:ilvl w:val="0"/>
          <w:numId w:val="1"/>
        </w:numPr>
        <w:tabs>
          <w:tab w:val="left" w:pos="2330"/>
        </w:tabs>
        <w:rPr>
          <w:rFonts w:ascii="Arial" w:hAnsi="Arial" w:cs="Arial"/>
          <w:sz w:val="20"/>
          <w:szCs w:val="20"/>
        </w:rPr>
      </w:pPr>
      <w:proofErr w:type="spellStart"/>
      <w:r w:rsidRPr="003E31DF">
        <w:rPr>
          <w:rFonts w:ascii="Arial" w:hAnsi="Arial" w:cs="Arial"/>
          <w:sz w:val="20"/>
          <w:szCs w:val="20"/>
        </w:rPr>
        <w:t>i</w:t>
      </w:r>
      <w:proofErr w:type="spellEnd"/>
      <w:r w:rsidRPr="003E31DF">
        <w:rPr>
          <w:rFonts w:ascii="Arial" w:hAnsi="Arial" w:cs="Arial"/>
          <w:sz w:val="20"/>
          <w:szCs w:val="20"/>
        </w:rPr>
        <w:t xml:space="preserve">) </w:t>
      </w:r>
      <w:r w:rsidRPr="003E31DF">
        <w:rPr>
          <w:rFonts w:ascii="Arial" w:hAnsi="Arial" w:cs="Arial"/>
          <w:sz w:val="20"/>
          <w:szCs w:val="20"/>
        </w:rPr>
        <w:br/>
      </w:r>
    </w:p>
    <w:tbl>
      <w:tblPr>
        <w:tblStyle w:val="TableGrid"/>
        <w:tblW w:w="0" w:type="auto"/>
        <w:tblInd w:w="720" w:type="dxa"/>
        <w:tblLook w:val="04A0" w:firstRow="1" w:lastRow="0" w:firstColumn="1" w:lastColumn="0" w:noHBand="0" w:noVBand="1"/>
      </w:tblPr>
      <w:tblGrid>
        <w:gridCol w:w="409"/>
        <w:gridCol w:w="3828"/>
        <w:gridCol w:w="4059"/>
      </w:tblGrid>
      <w:tr w:rsidR="008B1C1F" w:rsidRPr="003E31DF" w:rsidTr="008B1C1F">
        <w:tc>
          <w:tcPr>
            <w:tcW w:w="409" w:type="dxa"/>
          </w:tcPr>
          <w:p w:rsidR="008B1C1F" w:rsidRPr="003E31DF" w:rsidRDefault="008B1C1F" w:rsidP="008B1C1F">
            <w:pPr>
              <w:pStyle w:val="ListParagraph"/>
              <w:tabs>
                <w:tab w:val="left" w:pos="2330"/>
              </w:tabs>
              <w:ind w:left="0"/>
              <w:rPr>
                <w:rFonts w:ascii="Arial" w:hAnsi="Arial" w:cs="Arial"/>
                <w:sz w:val="20"/>
                <w:szCs w:val="20"/>
              </w:rPr>
            </w:pPr>
          </w:p>
        </w:tc>
        <w:tc>
          <w:tcPr>
            <w:tcW w:w="3828" w:type="dxa"/>
          </w:tcPr>
          <w:p w:rsidR="008B1C1F" w:rsidRPr="003E31DF" w:rsidRDefault="008B1C1F" w:rsidP="005F6EC7">
            <w:pPr>
              <w:pStyle w:val="ListParagraph"/>
              <w:tabs>
                <w:tab w:val="left" w:pos="2330"/>
              </w:tabs>
              <w:ind w:left="0"/>
              <w:jc w:val="center"/>
              <w:rPr>
                <w:rFonts w:ascii="Arial" w:hAnsi="Arial" w:cs="Arial"/>
                <w:sz w:val="20"/>
                <w:szCs w:val="20"/>
              </w:rPr>
            </w:pPr>
            <w:r w:rsidRPr="003E31DF">
              <w:rPr>
                <w:rFonts w:ascii="Arial" w:hAnsi="Arial" w:cs="Arial"/>
                <w:sz w:val="20"/>
                <w:szCs w:val="20"/>
              </w:rPr>
              <w:t>Advantages</w:t>
            </w:r>
          </w:p>
        </w:tc>
        <w:tc>
          <w:tcPr>
            <w:tcW w:w="4059" w:type="dxa"/>
          </w:tcPr>
          <w:p w:rsidR="008B1C1F" w:rsidRPr="003E31DF" w:rsidRDefault="008B1C1F" w:rsidP="005F6EC7">
            <w:pPr>
              <w:pStyle w:val="ListParagraph"/>
              <w:tabs>
                <w:tab w:val="left" w:pos="2330"/>
              </w:tabs>
              <w:ind w:left="0"/>
              <w:jc w:val="center"/>
              <w:rPr>
                <w:rFonts w:ascii="Arial" w:hAnsi="Arial" w:cs="Arial"/>
                <w:sz w:val="20"/>
                <w:szCs w:val="20"/>
              </w:rPr>
            </w:pPr>
            <w:r w:rsidRPr="003E31DF">
              <w:rPr>
                <w:rFonts w:ascii="Arial" w:hAnsi="Arial" w:cs="Arial"/>
                <w:sz w:val="20"/>
                <w:szCs w:val="20"/>
              </w:rPr>
              <w:t>Disadvantages</w:t>
            </w:r>
          </w:p>
        </w:tc>
      </w:tr>
      <w:tr w:rsidR="008B1C1F" w:rsidRPr="003E31DF" w:rsidTr="008B1C1F">
        <w:tc>
          <w:tcPr>
            <w:tcW w:w="409" w:type="dxa"/>
          </w:tcPr>
          <w:p w:rsidR="008B1C1F" w:rsidRPr="003E31DF" w:rsidRDefault="008B1C1F" w:rsidP="008B1C1F">
            <w:pPr>
              <w:pStyle w:val="ListParagraph"/>
              <w:tabs>
                <w:tab w:val="left" w:pos="2330"/>
              </w:tabs>
              <w:ind w:left="0"/>
              <w:rPr>
                <w:rFonts w:ascii="Arial" w:hAnsi="Arial" w:cs="Arial"/>
                <w:sz w:val="20"/>
                <w:szCs w:val="20"/>
              </w:rPr>
            </w:pPr>
            <w:r w:rsidRPr="003E31DF">
              <w:rPr>
                <w:rFonts w:ascii="Arial" w:hAnsi="Arial" w:cs="Arial"/>
                <w:sz w:val="20"/>
                <w:szCs w:val="20"/>
              </w:rPr>
              <w:t>1</w:t>
            </w:r>
          </w:p>
        </w:tc>
        <w:tc>
          <w:tcPr>
            <w:tcW w:w="3828" w:type="dxa"/>
          </w:tcPr>
          <w:p w:rsidR="008B1C1F" w:rsidRPr="003E31DF" w:rsidRDefault="005F6EC7" w:rsidP="008B1C1F">
            <w:pPr>
              <w:pStyle w:val="ListParagraph"/>
              <w:tabs>
                <w:tab w:val="left" w:pos="2330"/>
              </w:tabs>
              <w:ind w:left="0"/>
              <w:rPr>
                <w:rFonts w:ascii="Arial" w:hAnsi="Arial" w:cs="Arial"/>
                <w:sz w:val="20"/>
                <w:szCs w:val="20"/>
              </w:rPr>
            </w:pPr>
            <w:r w:rsidRPr="003E31DF">
              <w:rPr>
                <w:rFonts w:ascii="Arial" w:hAnsi="Arial" w:cs="Arial"/>
                <w:sz w:val="20"/>
                <w:szCs w:val="20"/>
              </w:rPr>
              <w:t>They help</w:t>
            </w:r>
            <w:r w:rsidR="008B1C1F" w:rsidRPr="003E31DF">
              <w:rPr>
                <w:rFonts w:ascii="Arial" w:hAnsi="Arial" w:cs="Arial"/>
                <w:sz w:val="20"/>
                <w:szCs w:val="20"/>
              </w:rPr>
              <w:t xml:space="preserve"> in keeping uniformity in the way accounts are prepared</w:t>
            </w:r>
          </w:p>
        </w:tc>
        <w:tc>
          <w:tcPr>
            <w:tcW w:w="4059" w:type="dxa"/>
          </w:tcPr>
          <w:p w:rsidR="008B1C1F" w:rsidRPr="003E31DF" w:rsidRDefault="00916F97" w:rsidP="005F6EC7">
            <w:pPr>
              <w:pStyle w:val="ListParagraph"/>
              <w:tabs>
                <w:tab w:val="left" w:pos="2330"/>
              </w:tabs>
              <w:ind w:left="0"/>
              <w:rPr>
                <w:rFonts w:ascii="Arial" w:hAnsi="Arial" w:cs="Arial"/>
                <w:sz w:val="20"/>
                <w:szCs w:val="20"/>
              </w:rPr>
            </w:pPr>
            <w:r w:rsidRPr="003E31DF">
              <w:rPr>
                <w:rFonts w:ascii="Arial" w:hAnsi="Arial" w:cs="Arial"/>
                <w:sz w:val="20"/>
                <w:szCs w:val="20"/>
              </w:rPr>
              <w:t>All standards are not applicable to all companies</w:t>
            </w:r>
          </w:p>
        </w:tc>
      </w:tr>
      <w:tr w:rsidR="008B1C1F" w:rsidRPr="003E31DF" w:rsidTr="008B1C1F">
        <w:tc>
          <w:tcPr>
            <w:tcW w:w="409" w:type="dxa"/>
          </w:tcPr>
          <w:p w:rsidR="008B1C1F" w:rsidRPr="003E31DF" w:rsidRDefault="008B1C1F" w:rsidP="008B1C1F">
            <w:pPr>
              <w:tabs>
                <w:tab w:val="left" w:pos="2330"/>
              </w:tabs>
              <w:rPr>
                <w:rFonts w:ascii="Arial" w:hAnsi="Arial" w:cs="Arial"/>
                <w:sz w:val="20"/>
                <w:szCs w:val="20"/>
              </w:rPr>
            </w:pPr>
            <w:r w:rsidRPr="003E31DF">
              <w:rPr>
                <w:rFonts w:ascii="Arial" w:hAnsi="Arial" w:cs="Arial"/>
                <w:sz w:val="20"/>
                <w:szCs w:val="20"/>
              </w:rPr>
              <w:t>2</w:t>
            </w:r>
          </w:p>
        </w:tc>
        <w:tc>
          <w:tcPr>
            <w:tcW w:w="3828" w:type="dxa"/>
          </w:tcPr>
          <w:p w:rsidR="008B1C1F" w:rsidRPr="003E31DF" w:rsidRDefault="005F6EC7" w:rsidP="008B1C1F">
            <w:pPr>
              <w:pStyle w:val="ListParagraph"/>
              <w:tabs>
                <w:tab w:val="left" w:pos="2330"/>
              </w:tabs>
              <w:ind w:left="0"/>
              <w:rPr>
                <w:rFonts w:ascii="Arial" w:hAnsi="Arial" w:cs="Arial"/>
                <w:sz w:val="20"/>
                <w:szCs w:val="20"/>
              </w:rPr>
            </w:pPr>
            <w:r w:rsidRPr="003E31DF">
              <w:rPr>
                <w:rFonts w:ascii="Arial" w:hAnsi="Arial" w:cs="Arial"/>
                <w:sz w:val="20"/>
                <w:szCs w:val="20"/>
              </w:rPr>
              <w:t>They allow more flexibility than legislation</w:t>
            </w:r>
          </w:p>
        </w:tc>
        <w:tc>
          <w:tcPr>
            <w:tcW w:w="4059" w:type="dxa"/>
          </w:tcPr>
          <w:p w:rsidR="008B1C1F" w:rsidRPr="003E31DF" w:rsidRDefault="00916F97" w:rsidP="005F6EC7">
            <w:pPr>
              <w:pStyle w:val="ListParagraph"/>
              <w:tabs>
                <w:tab w:val="left" w:pos="2330"/>
              </w:tabs>
              <w:ind w:left="0"/>
              <w:rPr>
                <w:rFonts w:ascii="Arial" w:hAnsi="Arial" w:cs="Arial"/>
                <w:sz w:val="20"/>
                <w:szCs w:val="20"/>
              </w:rPr>
            </w:pPr>
            <w:r w:rsidRPr="003E31DF">
              <w:rPr>
                <w:rFonts w:ascii="Arial" w:hAnsi="Arial" w:cs="Arial"/>
                <w:sz w:val="20"/>
                <w:szCs w:val="20"/>
              </w:rPr>
              <w:t>Politics and other external factors come into play while setting these standards</w:t>
            </w:r>
          </w:p>
        </w:tc>
      </w:tr>
      <w:tr w:rsidR="008B1C1F" w:rsidRPr="003E31DF" w:rsidTr="008B1C1F">
        <w:tc>
          <w:tcPr>
            <w:tcW w:w="409" w:type="dxa"/>
          </w:tcPr>
          <w:p w:rsidR="008B1C1F" w:rsidRPr="003E31DF" w:rsidRDefault="008B1C1F" w:rsidP="008B1C1F">
            <w:pPr>
              <w:pStyle w:val="ListParagraph"/>
              <w:tabs>
                <w:tab w:val="left" w:pos="2330"/>
              </w:tabs>
              <w:ind w:left="0"/>
              <w:rPr>
                <w:rFonts w:ascii="Arial" w:hAnsi="Arial" w:cs="Arial"/>
                <w:sz w:val="20"/>
                <w:szCs w:val="20"/>
              </w:rPr>
            </w:pPr>
            <w:r w:rsidRPr="003E31DF">
              <w:rPr>
                <w:rFonts w:ascii="Arial" w:hAnsi="Arial" w:cs="Arial"/>
                <w:sz w:val="20"/>
                <w:szCs w:val="20"/>
              </w:rPr>
              <w:t>3</w:t>
            </w:r>
          </w:p>
        </w:tc>
        <w:tc>
          <w:tcPr>
            <w:tcW w:w="3828" w:type="dxa"/>
          </w:tcPr>
          <w:p w:rsidR="008B1C1F" w:rsidRPr="003E31DF" w:rsidRDefault="005F6EC7" w:rsidP="008B1C1F">
            <w:pPr>
              <w:pStyle w:val="ListParagraph"/>
              <w:tabs>
                <w:tab w:val="left" w:pos="2330"/>
              </w:tabs>
              <w:ind w:left="0"/>
              <w:rPr>
                <w:rFonts w:ascii="Arial" w:hAnsi="Arial" w:cs="Arial"/>
                <w:sz w:val="20"/>
                <w:szCs w:val="20"/>
              </w:rPr>
            </w:pPr>
            <w:r w:rsidRPr="003E31DF">
              <w:rPr>
                <w:rFonts w:ascii="Arial" w:hAnsi="Arial" w:cs="Arial"/>
                <w:sz w:val="20"/>
                <w:szCs w:val="20"/>
              </w:rPr>
              <w:t>Ask the companies to be more transparent</w:t>
            </w:r>
          </w:p>
        </w:tc>
        <w:tc>
          <w:tcPr>
            <w:tcW w:w="4059" w:type="dxa"/>
          </w:tcPr>
          <w:p w:rsidR="008B1C1F" w:rsidRPr="003E31DF" w:rsidRDefault="00916F97" w:rsidP="005F6EC7">
            <w:pPr>
              <w:pStyle w:val="ListParagraph"/>
              <w:tabs>
                <w:tab w:val="left" w:pos="2330"/>
              </w:tabs>
              <w:ind w:left="0"/>
              <w:rPr>
                <w:rFonts w:ascii="Arial" w:hAnsi="Arial" w:cs="Arial"/>
                <w:sz w:val="20"/>
                <w:szCs w:val="20"/>
              </w:rPr>
            </w:pPr>
            <w:r w:rsidRPr="003E31DF">
              <w:rPr>
                <w:rFonts w:ascii="Arial" w:hAnsi="Arial" w:cs="Arial"/>
                <w:sz w:val="20"/>
                <w:szCs w:val="20"/>
              </w:rPr>
              <w:t>Some standards are so general that they are meaningless</w:t>
            </w:r>
          </w:p>
        </w:tc>
      </w:tr>
      <w:tr w:rsidR="008B1C1F" w:rsidRPr="003E31DF" w:rsidTr="008B1C1F">
        <w:tc>
          <w:tcPr>
            <w:tcW w:w="409" w:type="dxa"/>
          </w:tcPr>
          <w:p w:rsidR="008B1C1F" w:rsidRPr="003E31DF" w:rsidRDefault="008B1C1F" w:rsidP="008B1C1F">
            <w:pPr>
              <w:pStyle w:val="ListParagraph"/>
              <w:tabs>
                <w:tab w:val="left" w:pos="2330"/>
              </w:tabs>
              <w:ind w:left="0"/>
              <w:rPr>
                <w:rFonts w:ascii="Arial" w:hAnsi="Arial" w:cs="Arial"/>
                <w:sz w:val="20"/>
                <w:szCs w:val="20"/>
              </w:rPr>
            </w:pPr>
            <w:r w:rsidRPr="003E31DF">
              <w:rPr>
                <w:rFonts w:ascii="Arial" w:hAnsi="Arial" w:cs="Arial"/>
                <w:sz w:val="20"/>
                <w:szCs w:val="20"/>
              </w:rPr>
              <w:t>4</w:t>
            </w:r>
          </w:p>
        </w:tc>
        <w:tc>
          <w:tcPr>
            <w:tcW w:w="3828" w:type="dxa"/>
          </w:tcPr>
          <w:p w:rsidR="008B1C1F" w:rsidRPr="003E31DF" w:rsidRDefault="005F6EC7" w:rsidP="008B1C1F">
            <w:pPr>
              <w:pStyle w:val="ListParagraph"/>
              <w:tabs>
                <w:tab w:val="left" w:pos="2330"/>
              </w:tabs>
              <w:ind w:left="0"/>
              <w:rPr>
                <w:rFonts w:ascii="Arial" w:hAnsi="Arial" w:cs="Arial"/>
                <w:sz w:val="20"/>
                <w:szCs w:val="20"/>
              </w:rPr>
            </w:pPr>
            <w:r w:rsidRPr="003E31DF">
              <w:rPr>
                <w:rFonts w:ascii="Arial" w:hAnsi="Arial" w:cs="Arial"/>
                <w:sz w:val="20"/>
                <w:szCs w:val="20"/>
              </w:rPr>
              <w:t>The existence of such standards promote</w:t>
            </w:r>
          </w:p>
        </w:tc>
        <w:tc>
          <w:tcPr>
            <w:tcW w:w="4059" w:type="dxa"/>
          </w:tcPr>
          <w:p w:rsidR="008B1C1F" w:rsidRPr="003E31DF" w:rsidRDefault="00916F97" w:rsidP="005F6EC7">
            <w:pPr>
              <w:pStyle w:val="ListParagraph"/>
              <w:tabs>
                <w:tab w:val="left" w:pos="2330"/>
              </w:tabs>
              <w:ind w:left="0"/>
              <w:rPr>
                <w:rFonts w:ascii="Arial" w:hAnsi="Arial" w:cs="Arial"/>
                <w:sz w:val="20"/>
                <w:szCs w:val="20"/>
              </w:rPr>
            </w:pPr>
            <w:r w:rsidRPr="003E31DF">
              <w:rPr>
                <w:rFonts w:ascii="Arial" w:hAnsi="Arial" w:cs="Arial"/>
                <w:sz w:val="20"/>
                <w:szCs w:val="20"/>
              </w:rPr>
              <w:t>Some standards are worded so vaguely that they could be interpreted in more than one way</w:t>
            </w:r>
          </w:p>
        </w:tc>
      </w:tr>
    </w:tbl>
    <w:p w:rsidR="000C5A9B"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ii) International Financial Reporting Standards</w:t>
      </w:r>
    </w:p>
    <w:p w:rsidR="00C04EAF"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Stock Exchange regulations</w:t>
      </w:r>
    </w:p>
    <w:p w:rsidR="00C04EAF"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National Laws</w:t>
      </w:r>
    </w:p>
    <w:p w:rsidR="00C04EAF"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Other legislation</w:t>
      </w:r>
    </w:p>
    <w:p w:rsidR="00C04EAF"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Principles, concepts and conventions</w:t>
      </w:r>
    </w:p>
    <w:p w:rsidR="00C04EAF" w:rsidRPr="003E31D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Practices by leading companies</w:t>
      </w:r>
    </w:p>
    <w:p w:rsidR="00C04EAF" w:rsidRPr="003E31DF" w:rsidRDefault="00C04EAF" w:rsidP="00C04EAF">
      <w:pPr>
        <w:pStyle w:val="ListParagraph"/>
        <w:tabs>
          <w:tab w:val="left" w:pos="2330"/>
        </w:tabs>
        <w:rPr>
          <w:rFonts w:ascii="Arial" w:hAnsi="Arial" w:cs="Arial"/>
          <w:sz w:val="20"/>
          <w:szCs w:val="20"/>
        </w:rPr>
      </w:pPr>
    </w:p>
    <w:p w:rsidR="00C04EAF" w:rsidRDefault="00C04EAF" w:rsidP="00C04EAF">
      <w:pPr>
        <w:pStyle w:val="ListParagraph"/>
        <w:tabs>
          <w:tab w:val="left" w:pos="2330"/>
        </w:tabs>
        <w:rPr>
          <w:rFonts w:ascii="Arial" w:hAnsi="Arial" w:cs="Arial"/>
          <w:sz w:val="20"/>
          <w:szCs w:val="20"/>
        </w:rPr>
      </w:pPr>
      <w:r w:rsidRPr="003E31DF">
        <w:rPr>
          <w:rFonts w:ascii="Arial" w:hAnsi="Arial" w:cs="Arial"/>
          <w:sz w:val="20"/>
          <w:szCs w:val="20"/>
        </w:rPr>
        <w:t xml:space="preserve">iii) The cash flow statements show where cash comes in from and where the cash goes. The </w:t>
      </w:r>
      <w:r w:rsidR="00C84679" w:rsidRPr="003E31DF">
        <w:rPr>
          <w:rFonts w:ascii="Arial" w:hAnsi="Arial" w:cs="Arial"/>
          <w:sz w:val="20"/>
          <w:szCs w:val="20"/>
        </w:rPr>
        <w:t xml:space="preserve">amounts are recorded at the cash values and the concepts of matching and realisation do not </w:t>
      </w:r>
      <w:r w:rsidR="00C84679" w:rsidRPr="003E31DF">
        <w:rPr>
          <w:rFonts w:ascii="Arial" w:hAnsi="Arial" w:cs="Arial"/>
          <w:sz w:val="20"/>
          <w:szCs w:val="20"/>
        </w:rPr>
        <w:lastRenderedPageBreak/>
        <w:t>apply to the cash flow statement. Hence only income that has been received and expenses that have been paid is recorded. Also, the cash flow statement shows how healthy the business is in terms of liquidity.</w:t>
      </w:r>
    </w:p>
    <w:p w:rsidR="000C628F" w:rsidRDefault="000C628F"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p>
    <w:p w:rsidR="000C628F" w:rsidRDefault="000C628F" w:rsidP="00C04EAF">
      <w:pPr>
        <w:pStyle w:val="ListParagraph"/>
        <w:tabs>
          <w:tab w:val="left" w:pos="2330"/>
        </w:tabs>
        <w:rPr>
          <w:rFonts w:ascii="Arial" w:hAnsi="Arial" w:cs="Arial"/>
          <w:sz w:val="20"/>
          <w:szCs w:val="20"/>
        </w:rPr>
      </w:pPr>
      <w:r>
        <w:rPr>
          <w:rFonts w:ascii="Arial" w:hAnsi="Arial" w:cs="Arial"/>
          <w:sz w:val="20"/>
          <w:szCs w:val="20"/>
        </w:rPr>
        <w:t>Q14</w:t>
      </w:r>
    </w:p>
    <w:p w:rsidR="0066028D" w:rsidRDefault="0066028D" w:rsidP="00C04EAF">
      <w:pPr>
        <w:pStyle w:val="ListParagraph"/>
        <w:tabs>
          <w:tab w:val="left" w:pos="2330"/>
        </w:tabs>
        <w:rPr>
          <w:rFonts w:ascii="Arial" w:hAnsi="Arial" w:cs="Arial"/>
          <w:sz w:val="20"/>
          <w:szCs w:val="20"/>
        </w:rPr>
      </w:pPr>
    </w:p>
    <w:p w:rsidR="000C628F" w:rsidRDefault="000C628F" w:rsidP="00C04EAF">
      <w:pPr>
        <w:pStyle w:val="ListParagraph"/>
        <w:tabs>
          <w:tab w:val="left" w:pos="2330"/>
        </w:tabs>
        <w:rPr>
          <w:rFonts w:ascii="Arial" w:hAnsi="Arial" w:cs="Arial"/>
          <w:sz w:val="20"/>
          <w:szCs w:val="20"/>
        </w:rPr>
      </w:pPr>
      <w:r>
        <w:rPr>
          <w:rFonts w:ascii="Arial" w:hAnsi="Arial" w:cs="Arial"/>
          <w:sz w:val="20"/>
          <w:szCs w:val="20"/>
        </w:rPr>
        <w:t>ABC Ltd</w:t>
      </w:r>
    </w:p>
    <w:p w:rsidR="000C628F" w:rsidRDefault="000C628F" w:rsidP="00C04EAF">
      <w:pPr>
        <w:pStyle w:val="ListParagraph"/>
        <w:tabs>
          <w:tab w:val="left" w:pos="2330"/>
        </w:tabs>
        <w:rPr>
          <w:rFonts w:ascii="Arial" w:hAnsi="Arial" w:cs="Arial"/>
          <w:sz w:val="20"/>
          <w:szCs w:val="20"/>
        </w:rPr>
      </w:pPr>
      <w:r>
        <w:rPr>
          <w:rFonts w:ascii="Arial" w:hAnsi="Arial" w:cs="Arial"/>
          <w:sz w:val="20"/>
          <w:szCs w:val="20"/>
        </w:rPr>
        <w:t xml:space="preserve">Income Statement </w:t>
      </w:r>
      <w:proofErr w:type="gramStart"/>
      <w:r>
        <w:rPr>
          <w:rFonts w:ascii="Arial" w:hAnsi="Arial" w:cs="Arial"/>
          <w:sz w:val="20"/>
          <w:szCs w:val="20"/>
        </w:rPr>
        <w:t>For</w:t>
      </w:r>
      <w:proofErr w:type="gramEnd"/>
      <w:r>
        <w:rPr>
          <w:rFonts w:ascii="Arial" w:hAnsi="Arial" w:cs="Arial"/>
          <w:sz w:val="20"/>
          <w:szCs w:val="20"/>
        </w:rPr>
        <w:t xml:space="preserve"> The Year Ended as of March 2019</w:t>
      </w:r>
    </w:p>
    <w:tbl>
      <w:tblPr>
        <w:tblStyle w:val="TableGrid"/>
        <w:tblW w:w="0" w:type="auto"/>
        <w:tblInd w:w="720" w:type="dxa"/>
        <w:tblLook w:val="04A0" w:firstRow="1" w:lastRow="0" w:firstColumn="1" w:lastColumn="0" w:noHBand="0" w:noVBand="1"/>
      </w:tblPr>
      <w:tblGrid>
        <w:gridCol w:w="4198"/>
        <w:gridCol w:w="4098"/>
      </w:tblGrid>
      <w:tr w:rsidR="000C628F" w:rsidTr="00617B1B">
        <w:tc>
          <w:tcPr>
            <w:tcW w:w="4198" w:type="dxa"/>
          </w:tcPr>
          <w:p w:rsidR="000C628F" w:rsidRDefault="000C628F" w:rsidP="00C04EAF">
            <w:pPr>
              <w:pStyle w:val="ListParagraph"/>
              <w:tabs>
                <w:tab w:val="left" w:pos="2330"/>
              </w:tabs>
              <w:ind w:left="0"/>
              <w:rPr>
                <w:rFonts w:ascii="Arial" w:hAnsi="Arial" w:cs="Arial"/>
                <w:sz w:val="20"/>
                <w:szCs w:val="20"/>
              </w:rPr>
            </w:pPr>
          </w:p>
        </w:tc>
        <w:tc>
          <w:tcPr>
            <w:tcW w:w="409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IN 000’s</w:t>
            </w:r>
          </w:p>
        </w:tc>
      </w:tr>
      <w:tr w:rsidR="000C628F" w:rsidTr="00617B1B">
        <w:tc>
          <w:tcPr>
            <w:tcW w:w="419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Revenue</w:t>
            </w:r>
          </w:p>
        </w:tc>
        <w:tc>
          <w:tcPr>
            <w:tcW w:w="409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1500</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Cost Of Sales</w:t>
            </w:r>
          </w:p>
        </w:tc>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(647)</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Gross Profit</w:t>
            </w:r>
          </w:p>
        </w:tc>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color w:val="FF0000"/>
                <w:sz w:val="20"/>
                <w:szCs w:val="20"/>
              </w:rPr>
              <w:t>853</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Distribution Cost</w:t>
            </w:r>
          </w:p>
        </w:tc>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(266)</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Administrative Expenses</w:t>
            </w:r>
          </w:p>
        </w:tc>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(3)</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Operating Profit</w:t>
            </w:r>
          </w:p>
        </w:tc>
        <w:tc>
          <w:tcPr>
            <w:tcW w:w="4508" w:type="dxa"/>
          </w:tcPr>
          <w:p w:rsidR="000C628F" w:rsidRDefault="00617B1B" w:rsidP="00C04EAF">
            <w:pPr>
              <w:pStyle w:val="ListParagraph"/>
              <w:tabs>
                <w:tab w:val="left" w:pos="2330"/>
              </w:tabs>
              <w:ind w:left="0"/>
              <w:rPr>
                <w:rFonts w:ascii="Arial" w:hAnsi="Arial" w:cs="Arial"/>
                <w:sz w:val="20"/>
                <w:szCs w:val="20"/>
              </w:rPr>
            </w:pPr>
            <w:r w:rsidRPr="00617B1B">
              <w:rPr>
                <w:rFonts w:ascii="Arial" w:hAnsi="Arial" w:cs="Arial"/>
                <w:color w:val="FF0000"/>
                <w:sz w:val="20"/>
                <w:szCs w:val="20"/>
              </w:rPr>
              <w:t>584</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Finance Income</w:t>
            </w:r>
          </w:p>
        </w:tc>
        <w:tc>
          <w:tcPr>
            <w:tcW w:w="4508" w:type="dxa"/>
          </w:tcPr>
          <w:p w:rsidR="000C628F" w:rsidRDefault="00617B1B" w:rsidP="00C04EAF">
            <w:pPr>
              <w:pStyle w:val="ListParagraph"/>
              <w:tabs>
                <w:tab w:val="left" w:pos="2330"/>
              </w:tabs>
              <w:ind w:left="0"/>
              <w:rPr>
                <w:rFonts w:ascii="Arial" w:hAnsi="Arial" w:cs="Arial"/>
                <w:sz w:val="20"/>
                <w:szCs w:val="20"/>
              </w:rPr>
            </w:pPr>
            <w:r>
              <w:rPr>
                <w:rFonts w:ascii="Arial" w:hAnsi="Arial" w:cs="Arial"/>
                <w:sz w:val="20"/>
                <w:szCs w:val="20"/>
              </w:rPr>
              <w:t>0</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Finance Cost</w:t>
            </w:r>
          </w:p>
        </w:tc>
        <w:tc>
          <w:tcPr>
            <w:tcW w:w="4508" w:type="dxa"/>
          </w:tcPr>
          <w:p w:rsidR="000C628F" w:rsidRDefault="00617B1B" w:rsidP="00C04EAF">
            <w:pPr>
              <w:pStyle w:val="ListParagraph"/>
              <w:tabs>
                <w:tab w:val="left" w:pos="2330"/>
              </w:tabs>
              <w:ind w:left="0"/>
              <w:rPr>
                <w:rFonts w:ascii="Arial" w:hAnsi="Arial" w:cs="Arial"/>
                <w:sz w:val="20"/>
                <w:szCs w:val="20"/>
              </w:rPr>
            </w:pPr>
            <w:r>
              <w:rPr>
                <w:rFonts w:ascii="Arial" w:hAnsi="Arial" w:cs="Arial"/>
                <w:sz w:val="20"/>
                <w:szCs w:val="20"/>
              </w:rPr>
              <w:t>(10)</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Profit Before Tax</w:t>
            </w:r>
          </w:p>
        </w:tc>
        <w:tc>
          <w:tcPr>
            <w:tcW w:w="4508" w:type="dxa"/>
          </w:tcPr>
          <w:p w:rsidR="000C628F" w:rsidRDefault="00617B1B" w:rsidP="00C04EAF">
            <w:pPr>
              <w:pStyle w:val="ListParagraph"/>
              <w:tabs>
                <w:tab w:val="left" w:pos="2330"/>
              </w:tabs>
              <w:ind w:left="0"/>
              <w:rPr>
                <w:rFonts w:ascii="Arial" w:hAnsi="Arial" w:cs="Arial"/>
                <w:sz w:val="20"/>
                <w:szCs w:val="20"/>
              </w:rPr>
            </w:pPr>
            <w:r w:rsidRPr="00617B1B">
              <w:rPr>
                <w:rFonts w:ascii="Arial" w:hAnsi="Arial" w:cs="Arial"/>
                <w:color w:val="FF0000"/>
                <w:sz w:val="20"/>
                <w:szCs w:val="20"/>
              </w:rPr>
              <w:t>574</w:t>
            </w:r>
          </w:p>
        </w:tc>
      </w:tr>
      <w:tr w:rsidR="000C628F" w:rsidTr="000C628F">
        <w:tc>
          <w:tcPr>
            <w:tcW w:w="4508" w:type="dxa"/>
          </w:tcPr>
          <w:p w:rsidR="000C628F" w:rsidRDefault="000C628F" w:rsidP="00C04EAF">
            <w:pPr>
              <w:pStyle w:val="ListParagraph"/>
              <w:tabs>
                <w:tab w:val="left" w:pos="2330"/>
              </w:tabs>
              <w:ind w:left="0"/>
              <w:rPr>
                <w:rFonts w:ascii="Arial" w:hAnsi="Arial" w:cs="Arial"/>
                <w:sz w:val="20"/>
                <w:szCs w:val="20"/>
              </w:rPr>
            </w:pPr>
            <w:r>
              <w:rPr>
                <w:rFonts w:ascii="Arial" w:hAnsi="Arial" w:cs="Arial"/>
                <w:sz w:val="20"/>
                <w:szCs w:val="20"/>
              </w:rPr>
              <w:t>Tax Paid</w:t>
            </w:r>
          </w:p>
        </w:tc>
        <w:tc>
          <w:tcPr>
            <w:tcW w:w="4508" w:type="dxa"/>
          </w:tcPr>
          <w:p w:rsidR="000C628F" w:rsidRDefault="00617B1B" w:rsidP="00C04EAF">
            <w:pPr>
              <w:pStyle w:val="ListParagraph"/>
              <w:tabs>
                <w:tab w:val="left" w:pos="2330"/>
              </w:tabs>
              <w:ind w:left="0"/>
              <w:rPr>
                <w:rFonts w:ascii="Arial" w:hAnsi="Arial" w:cs="Arial"/>
                <w:sz w:val="20"/>
                <w:szCs w:val="20"/>
              </w:rPr>
            </w:pPr>
            <w:r>
              <w:rPr>
                <w:rFonts w:ascii="Arial" w:hAnsi="Arial" w:cs="Arial"/>
                <w:sz w:val="20"/>
                <w:szCs w:val="20"/>
              </w:rPr>
              <w:t>0</w:t>
            </w:r>
          </w:p>
        </w:tc>
      </w:tr>
      <w:tr w:rsidR="00617B1B" w:rsidTr="000C628F">
        <w:tc>
          <w:tcPr>
            <w:tcW w:w="4508" w:type="dxa"/>
          </w:tcPr>
          <w:p w:rsidR="00617B1B" w:rsidRDefault="00617B1B" w:rsidP="00617B1B">
            <w:pPr>
              <w:pStyle w:val="ListParagraph"/>
              <w:tabs>
                <w:tab w:val="left" w:pos="2330"/>
              </w:tabs>
              <w:ind w:left="0"/>
              <w:rPr>
                <w:rFonts w:ascii="Arial" w:hAnsi="Arial" w:cs="Arial"/>
                <w:sz w:val="20"/>
                <w:szCs w:val="20"/>
              </w:rPr>
            </w:pPr>
            <w:r>
              <w:rPr>
                <w:rFonts w:ascii="Arial" w:hAnsi="Arial" w:cs="Arial"/>
                <w:sz w:val="20"/>
                <w:szCs w:val="20"/>
              </w:rPr>
              <w:t>Profit For The Year</w:t>
            </w:r>
          </w:p>
        </w:tc>
        <w:tc>
          <w:tcPr>
            <w:tcW w:w="4508" w:type="dxa"/>
          </w:tcPr>
          <w:p w:rsidR="00617B1B" w:rsidRDefault="00617B1B" w:rsidP="00617B1B">
            <w:pPr>
              <w:pStyle w:val="ListParagraph"/>
              <w:tabs>
                <w:tab w:val="left" w:pos="2330"/>
              </w:tabs>
              <w:ind w:left="0"/>
              <w:rPr>
                <w:rFonts w:ascii="Arial" w:hAnsi="Arial" w:cs="Arial"/>
                <w:sz w:val="20"/>
                <w:szCs w:val="20"/>
              </w:rPr>
            </w:pPr>
            <w:r w:rsidRPr="00617B1B">
              <w:rPr>
                <w:rFonts w:ascii="Arial" w:hAnsi="Arial" w:cs="Arial"/>
                <w:color w:val="FF0000"/>
                <w:sz w:val="20"/>
                <w:szCs w:val="20"/>
              </w:rPr>
              <w:t>574</w:t>
            </w:r>
          </w:p>
        </w:tc>
      </w:tr>
      <w:tr w:rsidR="00617B1B" w:rsidTr="00617B1B">
        <w:tc>
          <w:tcPr>
            <w:tcW w:w="4198" w:type="dxa"/>
          </w:tcPr>
          <w:p w:rsidR="00617B1B" w:rsidRDefault="00617B1B" w:rsidP="00617B1B">
            <w:pPr>
              <w:pStyle w:val="ListParagraph"/>
              <w:tabs>
                <w:tab w:val="left" w:pos="2330"/>
              </w:tabs>
              <w:ind w:left="0"/>
              <w:rPr>
                <w:rFonts w:ascii="Arial" w:hAnsi="Arial" w:cs="Arial"/>
                <w:sz w:val="20"/>
                <w:szCs w:val="20"/>
              </w:rPr>
            </w:pPr>
            <w:r>
              <w:rPr>
                <w:rFonts w:ascii="Arial" w:hAnsi="Arial" w:cs="Arial"/>
                <w:sz w:val="20"/>
                <w:szCs w:val="20"/>
              </w:rPr>
              <w:t>Revaluation Reserve Gains</w:t>
            </w:r>
          </w:p>
        </w:tc>
        <w:tc>
          <w:tcPr>
            <w:tcW w:w="4098" w:type="dxa"/>
          </w:tcPr>
          <w:p w:rsidR="00617B1B" w:rsidRDefault="00617B1B" w:rsidP="00617B1B">
            <w:pPr>
              <w:pStyle w:val="ListParagraph"/>
              <w:tabs>
                <w:tab w:val="left" w:pos="2330"/>
              </w:tabs>
              <w:ind w:left="0"/>
              <w:rPr>
                <w:rFonts w:ascii="Arial" w:hAnsi="Arial" w:cs="Arial"/>
                <w:sz w:val="20"/>
                <w:szCs w:val="20"/>
              </w:rPr>
            </w:pPr>
            <w:r>
              <w:rPr>
                <w:rFonts w:ascii="Arial" w:hAnsi="Arial" w:cs="Arial"/>
                <w:sz w:val="20"/>
                <w:szCs w:val="20"/>
              </w:rPr>
              <w:t>540</w:t>
            </w:r>
          </w:p>
        </w:tc>
      </w:tr>
      <w:tr w:rsidR="00617B1B" w:rsidTr="00617B1B">
        <w:tc>
          <w:tcPr>
            <w:tcW w:w="4198" w:type="dxa"/>
          </w:tcPr>
          <w:p w:rsidR="00617B1B" w:rsidRDefault="00617B1B" w:rsidP="00617B1B">
            <w:pPr>
              <w:pStyle w:val="ListParagraph"/>
              <w:tabs>
                <w:tab w:val="left" w:pos="2330"/>
              </w:tabs>
              <w:ind w:left="0"/>
              <w:rPr>
                <w:rFonts w:ascii="Arial" w:hAnsi="Arial" w:cs="Arial"/>
                <w:sz w:val="20"/>
                <w:szCs w:val="20"/>
              </w:rPr>
            </w:pPr>
            <w:r>
              <w:rPr>
                <w:rFonts w:ascii="Arial" w:hAnsi="Arial" w:cs="Arial"/>
                <w:sz w:val="20"/>
                <w:szCs w:val="20"/>
              </w:rPr>
              <w:t>Comprehensive income</w:t>
            </w:r>
          </w:p>
        </w:tc>
        <w:tc>
          <w:tcPr>
            <w:tcW w:w="4098" w:type="dxa"/>
          </w:tcPr>
          <w:p w:rsidR="00617B1B" w:rsidRDefault="00617B1B" w:rsidP="00617B1B">
            <w:pPr>
              <w:pStyle w:val="ListParagraph"/>
              <w:tabs>
                <w:tab w:val="left" w:pos="2330"/>
              </w:tabs>
              <w:ind w:left="0"/>
              <w:rPr>
                <w:rFonts w:ascii="Arial" w:hAnsi="Arial" w:cs="Arial"/>
                <w:sz w:val="20"/>
                <w:szCs w:val="20"/>
              </w:rPr>
            </w:pPr>
            <w:r w:rsidRPr="00617B1B">
              <w:rPr>
                <w:rFonts w:ascii="Arial" w:hAnsi="Arial" w:cs="Arial"/>
                <w:color w:val="FF0000"/>
                <w:sz w:val="20"/>
                <w:szCs w:val="20"/>
              </w:rPr>
              <w:t>1114</w:t>
            </w:r>
          </w:p>
        </w:tc>
      </w:tr>
    </w:tbl>
    <w:p w:rsidR="000C628F" w:rsidRDefault="000C628F" w:rsidP="00C04EAF">
      <w:pPr>
        <w:pStyle w:val="ListParagraph"/>
        <w:tabs>
          <w:tab w:val="left" w:pos="2330"/>
        </w:tabs>
        <w:rPr>
          <w:rFonts w:ascii="Arial" w:hAnsi="Arial" w:cs="Arial"/>
          <w:sz w:val="20"/>
          <w:szCs w:val="20"/>
        </w:rPr>
      </w:pPr>
    </w:p>
    <w:p w:rsidR="00617B1B" w:rsidRDefault="00617B1B" w:rsidP="00C04EAF">
      <w:pPr>
        <w:pStyle w:val="ListParagraph"/>
        <w:tabs>
          <w:tab w:val="left" w:pos="2330"/>
        </w:tabs>
        <w:rPr>
          <w:rFonts w:ascii="Arial" w:hAnsi="Arial" w:cs="Arial"/>
          <w:sz w:val="20"/>
          <w:szCs w:val="20"/>
        </w:rPr>
      </w:pPr>
      <w:r>
        <w:rPr>
          <w:rFonts w:ascii="Arial" w:hAnsi="Arial" w:cs="Arial"/>
          <w:sz w:val="20"/>
          <w:szCs w:val="20"/>
        </w:rPr>
        <w:t>Statement of change of equity as on 31</w:t>
      </w:r>
      <w:r w:rsidRPr="00617B1B">
        <w:rPr>
          <w:rFonts w:ascii="Arial" w:hAnsi="Arial" w:cs="Arial"/>
          <w:sz w:val="20"/>
          <w:szCs w:val="20"/>
          <w:vertAlign w:val="superscript"/>
        </w:rPr>
        <w:t>st</w:t>
      </w:r>
      <w:r>
        <w:rPr>
          <w:rFonts w:ascii="Arial" w:hAnsi="Arial" w:cs="Arial"/>
          <w:sz w:val="20"/>
          <w:szCs w:val="20"/>
        </w:rPr>
        <w:t xml:space="preserve"> march 2021</w:t>
      </w:r>
    </w:p>
    <w:tbl>
      <w:tblPr>
        <w:tblStyle w:val="TableGrid"/>
        <w:tblW w:w="0" w:type="auto"/>
        <w:tblInd w:w="720" w:type="dxa"/>
        <w:tblLook w:val="04A0" w:firstRow="1" w:lastRow="0" w:firstColumn="1" w:lastColumn="0" w:noHBand="0" w:noVBand="1"/>
      </w:tblPr>
      <w:tblGrid>
        <w:gridCol w:w="2190"/>
        <w:gridCol w:w="1505"/>
        <w:gridCol w:w="1568"/>
        <w:gridCol w:w="1555"/>
        <w:gridCol w:w="1478"/>
      </w:tblGrid>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Shared Capital</w:t>
            </w: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Other Reserves</w:t>
            </w: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Retained Earnings</w:t>
            </w:r>
          </w:p>
        </w:tc>
        <w:tc>
          <w:tcPr>
            <w:tcW w:w="1804"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Total Equity</w:t>
            </w:r>
          </w:p>
        </w:tc>
      </w:tr>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200</w:t>
            </w: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180</w:t>
            </w: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250</w:t>
            </w:r>
          </w:p>
        </w:tc>
        <w:tc>
          <w:tcPr>
            <w:tcW w:w="1804"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630</w:t>
            </w:r>
          </w:p>
        </w:tc>
      </w:tr>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Revaluation(200+340)</w:t>
            </w: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540</w:t>
            </w: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4"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Profit For The Year</w:t>
            </w: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574</w:t>
            </w:r>
          </w:p>
        </w:tc>
        <w:tc>
          <w:tcPr>
            <w:tcW w:w="1804"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Dividends</w:t>
            </w: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(45)</w:t>
            </w:r>
          </w:p>
        </w:tc>
        <w:tc>
          <w:tcPr>
            <w:tcW w:w="1804"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1803" w:type="dxa"/>
          </w:tcPr>
          <w:p w:rsidR="00617B1B" w:rsidRDefault="00617B1B" w:rsidP="00C04EAF">
            <w:pPr>
              <w:pStyle w:val="ListParagraph"/>
              <w:tabs>
                <w:tab w:val="left" w:pos="2330"/>
              </w:tabs>
              <w:ind w:left="0"/>
              <w:rPr>
                <w:rFonts w:ascii="Arial" w:hAnsi="Arial" w:cs="Arial"/>
                <w:sz w:val="20"/>
                <w:szCs w:val="20"/>
              </w:rPr>
            </w:pPr>
          </w:p>
        </w:tc>
        <w:tc>
          <w:tcPr>
            <w:tcW w:w="1803" w:type="dxa"/>
          </w:tcPr>
          <w:p w:rsidR="00617B1B" w:rsidRPr="00617B1B" w:rsidRDefault="00617B1B" w:rsidP="00C04EAF">
            <w:pPr>
              <w:pStyle w:val="ListParagraph"/>
              <w:tabs>
                <w:tab w:val="left" w:pos="2330"/>
              </w:tabs>
              <w:ind w:left="0"/>
              <w:rPr>
                <w:rFonts w:ascii="Arial" w:hAnsi="Arial" w:cs="Arial"/>
                <w:color w:val="FF0000"/>
                <w:sz w:val="20"/>
                <w:szCs w:val="20"/>
              </w:rPr>
            </w:pPr>
            <w:r w:rsidRPr="00617B1B">
              <w:rPr>
                <w:rFonts w:ascii="Arial" w:hAnsi="Arial" w:cs="Arial"/>
                <w:color w:val="FF0000"/>
                <w:sz w:val="20"/>
                <w:szCs w:val="20"/>
              </w:rPr>
              <w:t>200</w:t>
            </w:r>
          </w:p>
        </w:tc>
        <w:tc>
          <w:tcPr>
            <w:tcW w:w="1803" w:type="dxa"/>
          </w:tcPr>
          <w:p w:rsidR="00617B1B" w:rsidRPr="00617B1B" w:rsidRDefault="00617B1B" w:rsidP="00C04EAF">
            <w:pPr>
              <w:pStyle w:val="ListParagraph"/>
              <w:tabs>
                <w:tab w:val="left" w:pos="2330"/>
              </w:tabs>
              <w:ind w:left="0"/>
              <w:rPr>
                <w:rFonts w:ascii="Arial" w:hAnsi="Arial" w:cs="Arial"/>
                <w:color w:val="FF0000"/>
                <w:sz w:val="20"/>
                <w:szCs w:val="20"/>
              </w:rPr>
            </w:pPr>
            <w:r w:rsidRPr="00617B1B">
              <w:rPr>
                <w:rFonts w:ascii="Arial" w:hAnsi="Arial" w:cs="Arial"/>
                <w:color w:val="FF0000"/>
                <w:sz w:val="20"/>
                <w:szCs w:val="20"/>
              </w:rPr>
              <w:t>720</w:t>
            </w:r>
          </w:p>
        </w:tc>
        <w:tc>
          <w:tcPr>
            <w:tcW w:w="1803" w:type="dxa"/>
          </w:tcPr>
          <w:p w:rsidR="00617B1B" w:rsidRPr="00617B1B" w:rsidRDefault="00617B1B" w:rsidP="00C04EAF">
            <w:pPr>
              <w:pStyle w:val="ListParagraph"/>
              <w:tabs>
                <w:tab w:val="left" w:pos="2330"/>
              </w:tabs>
              <w:ind w:left="0"/>
              <w:rPr>
                <w:rFonts w:ascii="Arial" w:hAnsi="Arial" w:cs="Arial"/>
                <w:color w:val="FF0000"/>
                <w:sz w:val="20"/>
                <w:szCs w:val="20"/>
              </w:rPr>
            </w:pPr>
            <w:r w:rsidRPr="00617B1B">
              <w:rPr>
                <w:rFonts w:ascii="Arial" w:hAnsi="Arial" w:cs="Arial"/>
                <w:color w:val="FF0000"/>
                <w:sz w:val="20"/>
                <w:szCs w:val="20"/>
              </w:rPr>
              <w:t>779</w:t>
            </w:r>
          </w:p>
        </w:tc>
        <w:tc>
          <w:tcPr>
            <w:tcW w:w="1804" w:type="dxa"/>
          </w:tcPr>
          <w:p w:rsidR="00617B1B" w:rsidRPr="00617B1B" w:rsidRDefault="00617B1B" w:rsidP="00C04EAF">
            <w:pPr>
              <w:pStyle w:val="ListParagraph"/>
              <w:tabs>
                <w:tab w:val="left" w:pos="2330"/>
              </w:tabs>
              <w:ind w:left="0"/>
              <w:rPr>
                <w:rFonts w:ascii="Arial" w:hAnsi="Arial" w:cs="Arial"/>
                <w:color w:val="FF0000"/>
                <w:sz w:val="20"/>
                <w:szCs w:val="20"/>
              </w:rPr>
            </w:pPr>
            <w:r w:rsidRPr="00617B1B">
              <w:rPr>
                <w:rFonts w:ascii="Arial" w:hAnsi="Arial" w:cs="Arial"/>
                <w:color w:val="FF0000"/>
                <w:sz w:val="20"/>
                <w:szCs w:val="20"/>
              </w:rPr>
              <w:t>1699</w:t>
            </w:r>
          </w:p>
        </w:tc>
      </w:tr>
    </w:tbl>
    <w:p w:rsidR="00617B1B" w:rsidRDefault="00617B1B" w:rsidP="00C04EAF">
      <w:pPr>
        <w:pStyle w:val="ListParagraph"/>
        <w:tabs>
          <w:tab w:val="left" w:pos="2330"/>
        </w:tabs>
        <w:rPr>
          <w:rFonts w:ascii="Arial" w:hAnsi="Arial" w:cs="Arial"/>
          <w:sz w:val="20"/>
          <w:szCs w:val="20"/>
        </w:rPr>
      </w:pPr>
    </w:p>
    <w:p w:rsidR="00617B1B" w:rsidRDefault="00617B1B" w:rsidP="00C04EAF">
      <w:pPr>
        <w:pStyle w:val="ListParagraph"/>
        <w:tabs>
          <w:tab w:val="left" w:pos="2330"/>
        </w:tabs>
        <w:rPr>
          <w:rFonts w:ascii="Arial" w:hAnsi="Arial" w:cs="Arial"/>
          <w:sz w:val="20"/>
          <w:szCs w:val="20"/>
        </w:rPr>
      </w:pPr>
      <w:r>
        <w:rPr>
          <w:rFonts w:ascii="Arial" w:hAnsi="Arial" w:cs="Arial"/>
          <w:sz w:val="20"/>
          <w:szCs w:val="20"/>
        </w:rPr>
        <w:t>Statement of financial position on 31</w:t>
      </w:r>
      <w:r w:rsidRPr="00617B1B">
        <w:rPr>
          <w:rFonts w:ascii="Arial" w:hAnsi="Arial" w:cs="Arial"/>
          <w:sz w:val="20"/>
          <w:szCs w:val="20"/>
          <w:vertAlign w:val="superscript"/>
        </w:rPr>
        <w:t>st</w:t>
      </w:r>
      <w:r>
        <w:rPr>
          <w:rFonts w:ascii="Arial" w:hAnsi="Arial" w:cs="Arial"/>
          <w:sz w:val="20"/>
          <w:szCs w:val="20"/>
        </w:rPr>
        <w:t xml:space="preserve"> march 2019</w:t>
      </w:r>
    </w:p>
    <w:tbl>
      <w:tblPr>
        <w:tblStyle w:val="TableGrid"/>
        <w:tblW w:w="0" w:type="auto"/>
        <w:tblInd w:w="720" w:type="dxa"/>
        <w:tblLook w:val="04A0" w:firstRow="1" w:lastRow="0" w:firstColumn="1" w:lastColumn="0" w:noHBand="0" w:noVBand="1"/>
      </w:tblPr>
      <w:tblGrid>
        <w:gridCol w:w="4179"/>
        <w:gridCol w:w="4117"/>
      </w:tblGrid>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p>
        </w:tc>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000’s</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ASSETS</w:t>
            </w:r>
          </w:p>
        </w:tc>
        <w:tc>
          <w:tcPr>
            <w:tcW w:w="4508"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Non current</w:t>
            </w:r>
            <w:proofErr w:type="spellEnd"/>
            <w:r>
              <w:rPr>
                <w:rFonts w:ascii="Arial" w:hAnsi="Arial" w:cs="Arial"/>
                <w:sz w:val="20"/>
                <w:szCs w:val="20"/>
              </w:rPr>
              <w:t xml:space="preserve"> assets</w:t>
            </w:r>
          </w:p>
        </w:tc>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1672</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Current assets</w:t>
            </w:r>
          </w:p>
        </w:tc>
        <w:tc>
          <w:tcPr>
            <w:tcW w:w="4508"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Inventory</w:t>
            </w:r>
          </w:p>
        </w:tc>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30</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Trade Receivables</w:t>
            </w:r>
          </w:p>
        </w:tc>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210</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Total Assets</w:t>
            </w:r>
          </w:p>
        </w:tc>
        <w:tc>
          <w:tcPr>
            <w:tcW w:w="4508" w:type="dxa"/>
          </w:tcPr>
          <w:p w:rsidR="00617B1B" w:rsidRDefault="00617B1B" w:rsidP="00C04EAF">
            <w:pPr>
              <w:pStyle w:val="ListParagraph"/>
              <w:tabs>
                <w:tab w:val="left" w:pos="2330"/>
              </w:tabs>
              <w:ind w:left="0"/>
              <w:rPr>
                <w:rFonts w:ascii="Arial" w:hAnsi="Arial" w:cs="Arial"/>
                <w:sz w:val="20"/>
                <w:szCs w:val="20"/>
              </w:rPr>
            </w:pPr>
            <w:r w:rsidRPr="00617B1B">
              <w:rPr>
                <w:rFonts w:ascii="Arial" w:hAnsi="Arial" w:cs="Arial"/>
                <w:color w:val="FF0000"/>
                <w:sz w:val="20"/>
                <w:szCs w:val="20"/>
              </w:rPr>
              <w:t>1912</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Total Equity</w:t>
            </w:r>
          </w:p>
        </w:tc>
        <w:tc>
          <w:tcPr>
            <w:tcW w:w="4508" w:type="dxa"/>
          </w:tcPr>
          <w:p w:rsidR="00617B1B" w:rsidRDefault="00617B1B" w:rsidP="00C04EAF">
            <w:pPr>
              <w:pStyle w:val="ListParagraph"/>
              <w:tabs>
                <w:tab w:val="left" w:pos="2330"/>
              </w:tabs>
              <w:ind w:left="0"/>
              <w:rPr>
                <w:rFonts w:ascii="Arial" w:hAnsi="Arial" w:cs="Arial"/>
                <w:sz w:val="20"/>
                <w:szCs w:val="20"/>
              </w:rPr>
            </w:pPr>
            <w:r w:rsidRPr="00617B1B">
              <w:rPr>
                <w:rFonts w:ascii="Arial" w:hAnsi="Arial" w:cs="Arial"/>
                <w:color w:val="FF0000"/>
                <w:sz w:val="20"/>
                <w:szCs w:val="20"/>
              </w:rPr>
              <w:t>1699</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Non Current</w:t>
            </w:r>
            <w:proofErr w:type="spellEnd"/>
            <w:r>
              <w:rPr>
                <w:rFonts w:ascii="Arial" w:hAnsi="Arial" w:cs="Arial"/>
                <w:sz w:val="20"/>
                <w:szCs w:val="20"/>
              </w:rPr>
              <w:t xml:space="preserve"> Liability</w:t>
            </w:r>
          </w:p>
        </w:tc>
        <w:tc>
          <w:tcPr>
            <w:tcW w:w="4508"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Loan (Repayable 2024)</w:t>
            </w:r>
          </w:p>
        </w:tc>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145</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Current Liability</w:t>
            </w:r>
          </w:p>
        </w:tc>
        <w:tc>
          <w:tcPr>
            <w:tcW w:w="4508" w:type="dxa"/>
          </w:tcPr>
          <w:p w:rsidR="00617B1B" w:rsidRDefault="00617B1B" w:rsidP="00C04EAF">
            <w:pPr>
              <w:pStyle w:val="ListParagraph"/>
              <w:tabs>
                <w:tab w:val="left" w:pos="2330"/>
              </w:tabs>
              <w:ind w:left="0"/>
              <w:rPr>
                <w:rFonts w:ascii="Arial" w:hAnsi="Arial" w:cs="Arial"/>
                <w:sz w:val="20"/>
                <w:szCs w:val="20"/>
              </w:rPr>
            </w:pP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r>
              <w:rPr>
                <w:rFonts w:ascii="Arial" w:hAnsi="Arial" w:cs="Arial"/>
                <w:sz w:val="20"/>
                <w:szCs w:val="20"/>
              </w:rPr>
              <w:t>Bank Overdraft</w:t>
            </w:r>
          </w:p>
        </w:tc>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18</w:t>
            </w:r>
          </w:p>
        </w:tc>
      </w:tr>
      <w:tr w:rsidR="00617B1B" w:rsidTr="00617B1B">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Trade Payables</w:t>
            </w:r>
          </w:p>
        </w:tc>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50</w:t>
            </w:r>
          </w:p>
        </w:tc>
      </w:tr>
      <w:tr w:rsidR="00617B1B" w:rsidTr="00617B1B">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Total Liability</w:t>
            </w:r>
          </w:p>
        </w:tc>
        <w:tc>
          <w:tcPr>
            <w:tcW w:w="4508" w:type="dxa"/>
          </w:tcPr>
          <w:p w:rsidR="00617B1B"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213</w:t>
            </w:r>
          </w:p>
        </w:tc>
      </w:tr>
      <w:tr w:rsidR="00617B1B" w:rsidTr="00617B1B">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Total Equity And Liability</w:t>
            </w:r>
          </w:p>
        </w:tc>
        <w:tc>
          <w:tcPr>
            <w:tcW w:w="4508" w:type="dxa"/>
          </w:tcPr>
          <w:p w:rsidR="00617B1B" w:rsidRDefault="0066028D" w:rsidP="00C04EAF">
            <w:pPr>
              <w:pStyle w:val="ListParagraph"/>
              <w:tabs>
                <w:tab w:val="left" w:pos="2330"/>
              </w:tabs>
              <w:ind w:left="0"/>
              <w:rPr>
                <w:rFonts w:ascii="Arial" w:hAnsi="Arial" w:cs="Arial"/>
                <w:sz w:val="20"/>
                <w:szCs w:val="20"/>
              </w:rPr>
            </w:pPr>
            <w:r>
              <w:rPr>
                <w:rFonts w:ascii="Arial" w:hAnsi="Arial" w:cs="Arial"/>
                <w:sz w:val="20"/>
                <w:szCs w:val="20"/>
              </w:rPr>
              <w:t>1</w:t>
            </w:r>
            <w:r w:rsidRPr="0066028D">
              <w:rPr>
                <w:rFonts w:ascii="Arial" w:hAnsi="Arial" w:cs="Arial"/>
                <w:color w:val="FF0000"/>
                <w:sz w:val="20"/>
                <w:szCs w:val="20"/>
              </w:rPr>
              <w:t>912</w:t>
            </w:r>
          </w:p>
        </w:tc>
      </w:tr>
      <w:tr w:rsidR="00617B1B" w:rsidTr="00617B1B">
        <w:tc>
          <w:tcPr>
            <w:tcW w:w="4508" w:type="dxa"/>
          </w:tcPr>
          <w:p w:rsidR="00617B1B" w:rsidRDefault="00617B1B" w:rsidP="00C04EAF">
            <w:pPr>
              <w:pStyle w:val="ListParagraph"/>
              <w:tabs>
                <w:tab w:val="left" w:pos="2330"/>
              </w:tabs>
              <w:ind w:left="0"/>
              <w:rPr>
                <w:rFonts w:ascii="Arial" w:hAnsi="Arial" w:cs="Arial"/>
                <w:sz w:val="20"/>
                <w:szCs w:val="20"/>
              </w:rPr>
            </w:pPr>
          </w:p>
        </w:tc>
        <w:tc>
          <w:tcPr>
            <w:tcW w:w="4508" w:type="dxa"/>
          </w:tcPr>
          <w:p w:rsidR="00617B1B" w:rsidRDefault="00617B1B" w:rsidP="00C04EAF">
            <w:pPr>
              <w:pStyle w:val="ListParagraph"/>
              <w:tabs>
                <w:tab w:val="left" w:pos="2330"/>
              </w:tabs>
              <w:ind w:left="0"/>
              <w:rPr>
                <w:rFonts w:ascii="Arial" w:hAnsi="Arial" w:cs="Arial"/>
                <w:sz w:val="20"/>
                <w:szCs w:val="20"/>
              </w:rPr>
            </w:pPr>
          </w:p>
        </w:tc>
      </w:tr>
    </w:tbl>
    <w:p w:rsidR="00617B1B" w:rsidRDefault="00617B1B"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NOTES</w:t>
      </w:r>
    </w:p>
    <w:tbl>
      <w:tblPr>
        <w:tblStyle w:val="TableGrid"/>
        <w:tblW w:w="0" w:type="auto"/>
        <w:tblInd w:w="720" w:type="dxa"/>
        <w:tblLook w:val="04A0" w:firstRow="1" w:lastRow="0" w:firstColumn="1" w:lastColumn="0" w:noHBand="0" w:noVBand="1"/>
      </w:tblPr>
      <w:tblGrid>
        <w:gridCol w:w="4220"/>
        <w:gridCol w:w="4076"/>
      </w:tblGrid>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COST OF SALES</w:t>
            </w:r>
          </w:p>
        </w:tc>
        <w:tc>
          <w:tcPr>
            <w:tcW w:w="4508"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Inventory Consumed</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350000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Depriciation</w:t>
            </w:r>
            <w:proofErr w:type="spellEnd"/>
            <w:r>
              <w:rPr>
                <w:rFonts w:ascii="Arial" w:hAnsi="Arial" w:cs="Arial"/>
                <w:sz w:val="20"/>
                <w:szCs w:val="20"/>
              </w:rPr>
              <w:t>(building)</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7000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Factory Cost</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100000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Depriciation</w:t>
            </w:r>
            <w:proofErr w:type="spellEnd"/>
            <w:r>
              <w:rPr>
                <w:rFonts w:ascii="Arial" w:hAnsi="Arial" w:cs="Arial"/>
                <w:sz w:val="20"/>
                <w:szCs w:val="20"/>
              </w:rPr>
              <w:t xml:space="preserve"> (Machinery)</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15000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p>
        </w:tc>
        <w:tc>
          <w:tcPr>
            <w:tcW w:w="4508"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472000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Manufacturing Wages</w:t>
            </w:r>
          </w:p>
          <w:p w:rsidR="0066028D" w:rsidRDefault="0066028D" w:rsidP="00C04EAF">
            <w:pPr>
              <w:pStyle w:val="ListParagraph"/>
              <w:tabs>
                <w:tab w:val="left" w:pos="2330"/>
              </w:tabs>
              <w:ind w:left="0"/>
              <w:rPr>
                <w:rFonts w:ascii="Arial" w:hAnsi="Arial" w:cs="Arial"/>
                <w:sz w:val="20"/>
                <w:szCs w:val="20"/>
              </w:rPr>
            </w:pP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175000</w:t>
            </w:r>
          </w:p>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647000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p>
        </w:tc>
        <w:tc>
          <w:tcPr>
            <w:tcW w:w="4508" w:type="dxa"/>
          </w:tcPr>
          <w:p w:rsidR="0066028D" w:rsidRDefault="0066028D" w:rsidP="00C04EAF">
            <w:pPr>
              <w:pStyle w:val="ListParagraph"/>
              <w:tabs>
                <w:tab w:val="left" w:pos="2330"/>
              </w:tabs>
              <w:ind w:left="0"/>
              <w:rPr>
                <w:rFonts w:ascii="Arial" w:hAnsi="Arial" w:cs="Arial"/>
                <w:sz w:val="20"/>
                <w:szCs w:val="20"/>
              </w:rPr>
            </w:pPr>
          </w:p>
        </w:tc>
      </w:tr>
    </w:tbl>
    <w:p w:rsidR="0066028D" w:rsidRDefault="0066028D"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NOTES</w:t>
      </w:r>
    </w:p>
    <w:tbl>
      <w:tblPr>
        <w:tblStyle w:val="TableGrid"/>
        <w:tblW w:w="0" w:type="auto"/>
        <w:tblInd w:w="720" w:type="dxa"/>
        <w:tblLook w:val="04A0" w:firstRow="1" w:lastRow="0" w:firstColumn="1" w:lastColumn="0" w:noHBand="0" w:noVBand="1"/>
      </w:tblPr>
      <w:tblGrid>
        <w:gridCol w:w="4157"/>
        <w:gridCol w:w="4139"/>
      </w:tblGrid>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Admin Cost</w:t>
            </w:r>
          </w:p>
        </w:tc>
        <w:tc>
          <w:tcPr>
            <w:tcW w:w="4508"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Wages</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3000</w:t>
            </w:r>
          </w:p>
        </w:tc>
      </w:tr>
    </w:tbl>
    <w:p w:rsidR="0066028D" w:rsidRDefault="0066028D"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NOTES</w:t>
      </w:r>
    </w:p>
    <w:tbl>
      <w:tblPr>
        <w:tblStyle w:val="TableGrid"/>
        <w:tblW w:w="0" w:type="auto"/>
        <w:tblInd w:w="720" w:type="dxa"/>
        <w:tblLook w:val="04A0" w:firstRow="1" w:lastRow="0" w:firstColumn="1" w:lastColumn="0" w:noHBand="0" w:noVBand="1"/>
      </w:tblPr>
      <w:tblGrid>
        <w:gridCol w:w="4223"/>
        <w:gridCol w:w="4073"/>
      </w:tblGrid>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Distribution Cost</w:t>
            </w:r>
          </w:p>
        </w:tc>
        <w:tc>
          <w:tcPr>
            <w:tcW w:w="4508"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Machinery</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55000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Delivery Cost</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60000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Depreciation(Delivery vehicle)</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31000</w:t>
            </w:r>
          </w:p>
        </w:tc>
      </w:tr>
      <w:tr w:rsidR="0066028D" w:rsidTr="0066028D">
        <w:tc>
          <w:tcPr>
            <w:tcW w:w="4508" w:type="dxa"/>
          </w:tcPr>
          <w:p w:rsidR="0066028D" w:rsidRDefault="006E7BE8" w:rsidP="00C04EAF">
            <w:pPr>
              <w:pStyle w:val="ListParagraph"/>
              <w:tabs>
                <w:tab w:val="left" w:pos="2330"/>
              </w:tabs>
              <w:ind w:left="0"/>
              <w:rPr>
                <w:rFonts w:ascii="Arial" w:hAnsi="Arial" w:cs="Arial"/>
                <w:sz w:val="20"/>
                <w:szCs w:val="20"/>
              </w:rPr>
            </w:pPr>
            <w:r>
              <w:rPr>
                <w:rFonts w:ascii="Arial" w:hAnsi="Arial" w:cs="Arial"/>
                <w:sz w:val="20"/>
                <w:szCs w:val="20"/>
              </w:rPr>
              <w:t>S</w:t>
            </w:r>
            <w:r w:rsidR="0066028D">
              <w:rPr>
                <w:rFonts w:ascii="Arial" w:hAnsi="Arial" w:cs="Arial"/>
                <w:sz w:val="20"/>
                <w:szCs w:val="20"/>
              </w:rPr>
              <w:t>alaries</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120000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p>
        </w:tc>
        <w:tc>
          <w:tcPr>
            <w:tcW w:w="4508"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266000</w:t>
            </w:r>
          </w:p>
        </w:tc>
      </w:tr>
    </w:tbl>
    <w:p w:rsidR="0066028D" w:rsidRPr="006E7BE8" w:rsidRDefault="0066028D" w:rsidP="006E7BE8">
      <w:pPr>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p>
    <w:tbl>
      <w:tblPr>
        <w:tblStyle w:val="TableGrid"/>
        <w:tblW w:w="0" w:type="auto"/>
        <w:tblInd w:w="720" w:type="dxa"/>
        <w:tblLook w:val="04A0" w:firstRow="1" w:lastRow="0" w:firstColumn="1" w:lastColumn="0" w:noHBand="0" w:noVBand="1"/>
      </w:tblPr>
      <w:tblGrid>
        <w:gridCol w:w="2097"/>
        <w:gridCol w:w="2061"/>
        <w:gridCol w:w="2061"/>
        <w:gridCol w:w="2077"/>
      </w:tblGrid>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Non current</w:t>
            </w:r>
            <w:proofErr w:type="spellEnd"/>
            <w:r>
              <w:rPr>
                <w:rFonts w:ascii="Arial" w:hAnsi="Arial" w:cs="Arial"/>
                <w:sz w:val="20"/>
                <w:szCs w:val="20"/>
              </w:rPr>
              <w:t xml:space="preserve"> asset</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Book Value</w:t>
            </w:r>
          </w:p>
        </w:tc>
        <w:tc>
          <w:tcPr>
            <w:tcW w:w="2254"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Dep</w:t>
            </w:r>
            <w:proofErr w:type="spellEnd"/>
            <w:r>
              <w:rPr>
                <w:rFonts w:ascii="Arial" w:hAnsi="Arial" w:cs="Arial"/>
                <w:sz w:val="20"/>
                <w:szCs w:val="20"/>
              </w:rPr>
              <w:t xml:space="preserve"> To Date</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Book Value</w:t>
            </w:r>
          </w:p>
        </w:tc>
      </w:tr>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 xml:space="preserve">Building </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700000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7000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693000</w:t>
            </w:r>
          </w:p>
        </w:tc>
      </w:tr>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Delivery vehicle</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325000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201000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124000</w:t>
            </w:r>
          </w:p>
        </w:tc>
      </w:tr>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 xml:space="preserve">Machinery </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150000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95000</w:t>
            </w: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55000</w:t>
            </w:r>
          </w:p>
        </w:tc>
      </w:tr>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land</w:t>
            </w:r>
          </w:p>
        </w:tc>
        <w:tc>
          <w:tcPr>
            <w:tcW w:w="2254" w:type="dxa"/>
          </w:tcPr>
          <w:p w:rsidR="0066028D" w:rsidRDefault="0066028D" w:rsidP="00C04EAF">
            <w:pPr>
              <w:pStyle w:val="ListParagraph"/>
              <w:tabs>
                <w:tab w:val="left" w:pos="2330"/>
              </w:tabs>
              <w:ind w:left="0"/>
              <w:rPr>
                <w:rFonts w:ascii="Arial" w:hAnsi="Arial" w:cs="Arial"/>
                <w:sz w:val="20"/>
                <w:szCs w:val="20"/>
              </w:rPr>
            </w:pPr>
          </w:p>
        </w:tc>
        <w:tc>
          <w:tcPr>
            <w:tcW w:w="2254" w:type="dxa"/>
          </w:tcPr>
          <w:p w:rsidR="0066028D" w:rsidRDefault="0066028D" w:rsidP="00C04EAF">
            <w:pPr>
              <w:pStyle w:val="ListParagraph"/>
              <w:tabs>
                <w:tab w:val="left" w:pos="2330"/>
              </w:tabs>
              <w:ind w:left="0"/>
              <w:rPr>
                <w:rFonts w:ascii="Arial" w:hAnsi="Arial" w:cs="Arial"/>
                <w:sz w:val="20"/>
                <w:szCs w:val="20"/>
              </w:rPr>
            </w:pPr>
          </w:p>
        </w:tc>
        <w:tc>
          <w:tcPr>
            <w:tcW w:w="2254"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800000</w:t>
            </w:r>
          </w:p>
        </w:tc>
      </w:tr>
      <w:tr w:rsidR="0066028D" w:rsidTr="0066028D">
        <w:tc>
          <w:tcPr>
            <w:tcW w:w="2254" w:type="dxa"/>
          </w:tcPr>
          <w:p w:rsidR="0066028D" w:rsidRDefault="0066028D" w:rsidP="00C04EAF">
            <w:pPr>
              <w:pStyle w:val="ListParagraph"/>
              <w:tabs>
                <w:tab w:val="left" w:pos="2330"/>
              </w:tabs>
              <w:ind w:left="0"/>
              <w:rPr>
                <w:rFonts w:ascii="Arial" w:hAnsi="Arial" w:cs="Arial"/>
                <w:sz w:val="20"/>
                <w:szCs w:val="20"/>
              </w:rPr>
            </w:pPr>
          </w:p>
        </w:tc>
        <w:tc>
          <w:tcPr>
            <w:tcW w:w="2254" w:type="dxa"/>
          </w:tcPr>
          <w:p w:rsidR="0066028D" w:rsidRDefault="0066028D" w:rsidP="00C04EAF">
            <w:pPr>
              <w:pStyle w:val="ListParagraph"/>
              <w:tabs>
                <w:tab w:val="left" w:pos="2330"/>
              </w:tabs>
              <w:ind w:left="0"/>
              <w:rPr>
                <w:rFonts w:ascii="Arial" w:hAnsi="Arial" w:cs="Arial"/>
                <w:sz w:val="20"/>
                <w:szCs w:val="20"/>
              </w:rPr>
            </w:pPr>
          </w:p>
        </w:tc>
        <w:tc>
          <w:tcPr>
            <w:tcW w:w="2254" w:type="dxa"/>
          </w:tcPr>
          <w:p w:rsidR="0066028D" w:rsidRDefault="0066028D" w:rsidP="00C04EAF">
            <w:pPr>
              <w:pStyle w:val="ListParagraph"/>
              <w:tabs>
                <w:tab w:val="left" w:pos="2330"/>
              </w:tabs>
              <w:ind w:left="0"/>
              <w:rPr>
                <w:rFonts w:ascii="Arial" w:hAnsi="Arial" w:cs="Arial"/>
                <w:sz w:val="20"/>
                <w:szCs w:val="20"/>
              </w:rPr>
            </w:pPr>
          </w:p>
        </w:tc>
        <w:tc>
          <w:tcPr>
            <w:tcW w:w="2254"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1672000</w:t>
            </w:r>
          </w:p>
        </w:tc>
      </w:tr>
    </w:tbl>
    <w:p w:rsidR="0066028D" w:rsidRDefault="0066028D"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r>
        <w:rPr>
          <w:rFonts w:ascii="Arial" w:hAnsi="Arial" w:cs="Arial"/>
          <w:sz w:val="20"/>
          <w:szCs w:val="20"/>
        </w:rPr>
        <w:t>Q15</w:t>
      </w:r>
    </w:p>
    <w:p w:rsidR="006E7BE8" w:rsidRDefault="006E7BE8"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p>
    <w:p w:rsidR="006E7BE8" w:rsidRDefault="006E7BE8"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Profit And Loss Accounts</w:t>
      </w:r>
    </w:p>
    <w:tbl>
      <w:tblPr>
        <w:tblStyle w:val="TableGrid"/>
        <w:tblW w:w="0" w:type="auto"/>
        <w:tblInd w:w="720" w:type="dxa"/>
        <w:tblLook w:val="04A0" w:firstRow="1" w:lastRow="0" w:firstColumn="1" w:lastColumn="0" w:noHBand="0" w:noVBand="1"/>
      </w:tblPr>
      <w:tblGrid>
        <w:gridCol w:w="2817"/>
        <w:gridCol w:w="2731"/>
        <w:gridCol w:w="2748"/>
      </w:tblGrid>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INR</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INR</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Revenue</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58000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Gross Profit</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58000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Administrative Expenses</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Depreciation On Laptop And Office Equipment</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5041</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 xml:space="preserve">Office Supplies </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Rent</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14207</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Employee Salary</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14000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Office Electricity Bill</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4000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Mobile And Interest Bill</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583</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(38831)</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Operating Profit</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19169</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Finance Cost And Income</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Profit Before Tax</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19169</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Tax Payable</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(3000)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Profit For The Year Attributable To Shareholders</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16169</w:t>
            </w:r>
          </w:p>
        </w:tc>
      </w:tr>
    </w:tbl>
    <w:p w:rsidR="0066028D" w:rsidRDefault="0066028D"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 xml:space="preserve">Statement </w:t>
      </w:r>
      <w:proofErr w:type="gramStart"/>
      <w:r>
        <w:rPr>
          <w:rFonts w:ascii="Arial" w:hAnsi="Arial" w:cs="Arial"/>
          <w:sz w:val="20"/>
          <w:szCs w:val="20"/>
        </w:rPr>
        <w:t>Of</w:t>
      </w:r>
      <w:proofErr w:type="gramEnd"/>
      <w:r>
        <w:rPr>
          <w:rFonts w:ascii="Arial" w:hAnsi="Arial" w:cs="Arial"/>
          <w:sz w:val="20"/>
          <w:szCs w:val="20"/>
        </w:rPr>
        <w:t xml:space="preserve"> Retained Earnings</w:t>
      </w:r>
    </w:p>
    <w:tbl>
      <w:tblPr>
        <w:tblStyle w:val="TableGrid"/>
        <w:tblW w:w="0" w:type="auto"/>
        <w:tblInd w:w="720" w:type="dxa"/>
        <w:tblLook w:val="04A0" w:firstRow="1" w:lastRow="0" w:firstColumn="1" w:lastColumn="0" w:noHBand="0" w:noVBand="1"/>
      </w:tblPr>
      <w:tblGrid>
        <w:gridCol w:w="4159"/>
        <w:gridCol w:w="4137"/>
      </w:tblGrid>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Profit For The Year</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16169</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Dividend Paid</w:t>
            </w:r>
          </w:p>
        </w:tc>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(5000)</w:t>
            </w:r>
          </w:p>
        </w:tc>
      </w:tr>
      <w:tr w:rsidR="0066028D" w:rsidTr="0066028D">
        <w:tc>
          <w:tcPr>
            <w:tcW w:w="4508"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Retained Earnings</w:t>
            </w:r>
          </w:p>
        </w:tc>
        <w:tc>
          <w:tcPr>
            <w:tcW w:w="4508"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11169</w:t>
            </w:r>
          </w:p>
        </w:tc>
      </w:tr>
    </w:tbl>
    <w:p w:rsidR="0066028D" w:rsidRDefault="0066028D"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lastRenderedPageBreak/>
        <w:t xml:space="preserve">Statement </w:t>
      </w:r>
      <w:proofErr w:type="gramStart"/>
      <w:r>
        <w:rPr>
          <w:rFonts w:ascii="Arial" w:hAnsi="Arial" w:cs="Arial"/>
          <w:sz w:val="20"/>
          <w:szCs w:val="20"/>
        </w:rPr>
        <w:t>Of</w:t>
      </w:r>
      <w:proofErr w:type="gramEnd"/>
      <w:r>
        <w:rPr>
          <w:rFonts w:ascii="Arial" w:hAnsi="Arial" w:cs="Arial"/>
          <w:sz w:val="20"/>
          <w:szCs w:val="20"/>
        </w:rPr>
        <w:t xml:space="preserve"> Financial Position</w:t>
      </w:r>
    </w:p>
    <w:tbl>
      <w:tblPr>
        <w:tblStyle w:val="TableGrid"/>
        <w:tblW w:w="0" w:type="auto"/>
        <w:tblInd w:w="720" w:type="dxa"/>
        <w:tblLook w:val="04A0" w:firstRow="1" w:lastRow="0" w:firstColumn="1" w:lastColumn="0" w:noHBand="0" w:noVBand="1"/>
      </w:tblPr>
      <w:tblGrid>
        <w:gridCol w:w="2807"/>
        <w:gridCol w:w="2744"/>
        <w:gridCol w:w="2745"/>
      </w:tblGrid>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INR</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INR</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Non Current</w:t>
            </w:r>
            <w:proofErr w:type="spellEnd"/>
            <w:r>
              <w:rPr>
                <w:rFonts w:ascii="Arial" w:hAnsi="Arial" w:cs="Arial"/>
                <w:sz w:val="20"/>
                <w:szCs w:val="20"/>
              </w:rPr>
              <w:t xml:space="preserve"> Asset</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Laptop</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31792</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Office Equipment</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18167</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49959</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Current Asset</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Inventory Of Office Supplies</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Trade Receivables</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3500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Cash</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Bills Receivable</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Prepaid Rent</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1710</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12210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Total Assets</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62169</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Equity</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Share Capital</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32000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Unearned Fees Reserve</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9000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Retained Earnings</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11169</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52169</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proofErr w:type="spellStart"/>
            <w:r>
              <w:rPr>
                <w:rFonts w:ascii="Arial" w:hAnsi="Arial" w:cs="Arial"/>
                <w:sz w:val="20"/>
                <w:szCs w:val="20"/>
              </w:rPr>
              <w:t>Non Current</w:t>
            </w:r>
            <w:proofErr w:type="spellEnd"/>
            <w:r>
              <w:rPr>
                <w:rFonts w:ascii="Arial" w:hAnsi="Arial" w:cs="Arial"/>
                <w:sz w:val="20"/>
                <w:szCs w:val="20"/>
              </w:rPr>
              <w:t xml:space="preserve"> Liability</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Current Liability</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Outstanding Salary</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4000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Trade Payables</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3000</w:t>
            </w:r>
          </w:p>
        </w:tc>
        <w:tc>
          <w:tcPr>
            <w:tcW w:w="3006" w:type="dxa"/>
          </w:tcPr>
          <w:p w:rsidR="0066028D" w:rsidRDefault="0066028D" w:rsidP="00C04EAF">
            <w:pPr>
              <w:pStyle w:val="ListParagraph"/>
              <w:tabs>
                <w:tab w:val="left" w:pos="2330"/>
              </w:tabs>
              <w:ind w:left="0"/>
              <w:rPr>
                <w:rFonts w:ascii="Arial" w:hAnsi="Arial" w:cs="Arial"/>
                <w:sz w:val="20"/>
                <w:szCs w:val="20"/>
              </w:rPr>
            </w:pP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Tax Payable</w:t>
            </w:r>
          </w:p>
        </w:tc>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3000</w:t>
            </w:r>
          </w:p>
        </w:tc>
        <w:tc>
          <w:tcPr>
            <w:tcW w:w="3006"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10000</w:t>
            </w:r>
          </w:p>
        </w:tc>
      </w:tr>
      <w:tr w:rsidR="0066028D" w:rsidTr="0066028D">
        <w:tc>
          <w:tcPr>
            <w:tcW w:w="3005" w:type="dxa"/>
          </w:tcPr>
          <w:p w:rsidR="0066028D" w:rsidRDefault="0066028D" w:rsidP="00C04EAF">
            <w:pPr>
              <w:pStyle w:val="ListParagraph"/>
              <w:tabs>
                <w:tab w:val="left" w:pos="2330"/>
              </w:tabs>
              <w:ind w:left="0"/>
              <w:rPr>
                <w:rFonts w:ascii="Arial" w:hAnsi="Arial" w:cs="Arial"/>
                <w:sz w:val="20"/>
                <w:szCs w:val="20"/>
              </w:rPr>
            </w:pPr>
            <w:r>
              <w:rPr>
                <w:rFonts w:ascii="Arial" w:hAnsi="Arial" w:cs="Arial"/>
                <w:sz w:val="20"/>
                <w:szCs w:val="20"/>
              </w:rPr>
              <w:t>Total Equity And Liabilities</w:t>
            </w:r>
          </w:p>
        </w:tc>
        <w:tc>
          <w:tcPr>
            <w:tcW w:w="3005" w:type="dxa"/>
          </w:tcPr>
          <w:p w:rsidR="0066028D" w:rsidRDefault="0066028D" w:rsidP="00C04EAF">
            <w:pPr>
              <w:pStyle w:val="ListParagraph"/>
              <w:tabs>
                <w:tab w:val="left" w:pos="2330"/>
              </w:tabs>
              <w:ind w:left="0"/>
              <w:rPr>
                <w:rFonts w:ascii="Arial" w:hAnsi="Arial" w:cs="Arial"/>
                <w:sz w:val="20"/>
                <w:szCs w:val="20"/>
              </w:rPr>
            </w:pPr>
          </w:p>
        </w:tc>
        <w:tc>
          <w:tcPr>
            <w:tcW w:w="3006" w:type="dxa"/>
          </w:tcPr>
          <w:p w:rsidR="0066028D" w:rsidRDefault="0066028D" w:rsidP="00C04EAF">
            <w:pPr>
              <w:pStyle w:val="ListParagraph"/>
              <w:tabs>
                <w:tab w:val="left" w:pos="2330"/>
              </w:tabs>
              <w:ind w:left="0"/>
              <w:rPr>
                <w:rFonts w:ascii="Arial" w:hAnsi="Arial" w:cs="Arial"/>
                <w:sz w:val="20"/>
                <w:szCs w:val="20"/>
              </w:rPr>
            </w:pPr>
            <w:r w:rsidRPr="0066028D">
              <w:rPr>
                <w:rFonts w:ascii="Arial" w:hAnsi="Arial" w:cs="Arial"/>
                <w:color w:val="FF0000"/>
                <w:sz w:val="20"/>
                <w:szCs w:val="20"/>
              </w:rPr>
              <w:t>62169</w:t>
            </w:r>
          </w:p>
        </w:tc>
      </w:tr>
    </w:tbl>
    <w:p w:rsidR="0066028D" w:rsidRDefault="0066028D" w:rsidP="00C04EAF">
      <w:pPr>
        <w:pStyle w:val="ListParagraph"/>
        <w:tabs>
          <w:tab w:val="left" w:pos="2330"/>
        </w:tabs>
        <w:rPr>
          <w:rFonts w:ascii="Arial" w:hAnsi="Arial" w:cs="Arial"/>
          <w:sz w:val="20"/>
          <w:szCs w:val="20"/>
        </w:rPr>
      </w:pPr>
    </w:p>
    <w:p w:rsidR="0066028D" w:rsidRDefault="0066028D" w:rsidP="00C04EAF">
      <w:pPr>
        <w:pStyle w:val="ListParagraph"/>
        <w:tabs>
          <w:tab w:val="left" w:pos="2330"/>
        </w:tabs>
        <w:rPr>
          <w:rFonts w:ascii="Arial" w:hAnsi="Arial" w:cs="Arial"/>
          <w:sz w:val="20"/>
          <w:szCs w:val="20"/>
        </w:rPr>
      </w:pPr>
      <w:r>
        <w:rPr>
          <w:rFonts w:ascii="Arial" w:hAnsi="Arial" w:cs="Arial"/>
          <w:sz w:val="20"/>
          <w:szCs w:val="20"/>
        </w:rPr>
        <w:t xml:space="preserve">NOTES </w:t>
      </w:r>
    </w:p>
    <w:p w:rsidR="0066028D" w:rsidRDefault="0066028D" w:rsidP="00C04EAF">
      <w:pPr>
        <w:pStyle w:val="ListParagraph"/>
        <w:tabs>
          <w:tab w:val="left" w:pos="2330"/>
        </w:tabs>
        <w:rPr>
          <w:rFonts w:ascii="Arial" w:hAnsi="Arial" w:cs="Arial"/>
          <w:sz w:val="20"/>
          <w:szCs w:val="20"/>
        </w:rPr>
      </w:pPr>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hAnsi="Cambria Math" w:cs="Arial"/>
            <w:sz w:val="20"/>
            <w:szCs w:val="20"/>
          </w:rPr>
          <m:t>Depriciation On Laptop=</m:t>
        </m:r>
        <m:f>
          <m:fPr>
            <m:ctrlPr>
              <w:rPr>
                <w:rFonts w:ascii="Cambria Math" w:hAnsi="Cambria Math" w:cs="Arial"/>
                <w:i/>
                <w:sz w:val="20"/>
                <w:szCs w:val="20"/>
              </w:rPr>
            </m:ctrlPr>
          </m:fPr>
          <m:num>
            <m:r>
              <w:rPr>
                <w:rFonts w:ascii="Cambria Math" w:hAnsi="Cambria Math" w:cs="Arial"/>
                <w:sz w:val="20"/>
                <w:szCs w:val="20"/>
              </w:rPr>
              <m:t>35000</m:t>
            </m:r>
          </m:num>
          <m:den>
            <m:r>
              <w:rPr>
                <w:rFonts w:ascii="Cambria Math" w:hAnsi="Cambria Math" w:cs="Arial"/>
                <w:sz w:val="20"/>
                <w:szCs w:val="20"/>
              </w:rPr>
              <m:t>10</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11</m:t>
            </m:r>
          </m:num>
          <m:den>
            <m:r>
              <w:rPr>
                <w:rFonts w:ascii="Cambria Math" w:hAnsi="Cambria Math" w:cs="Arial"/>
                <w:sz w:val="20"/>
                <w:szCs w:val="20"/>
              </w:rPr>
              <m:t>12</m:t>
            </m:r>
          </m:den>
        </m:f>
        <m:r>
          <w:rPr>
            <w:rFonts w:ascii="Cambria Math" w:hAnsi="Cambria Math" w:cs="Arial"/>
            <w:sz w:val="20"/>
            <w:szCs w:val="20"/>
          </w:rPr>
          <m:t>=3208</m:t>
        </m:r>
      </m:oMath>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hAnsi="Cambria Math" w:cs="Arial"/>
            <w:sz w:val="20"/>
            <w:szCs w:val="20"/>
          </w:rPr>
          <m:t>Depriciation On Office Equipment=</m:t>
        </m:r>
        <m:f>
          <m:fPr>
            <m:ctrlPr>
              <w:rPr>
                <w:rFonts w:ascii="Cambria Math" w:hAnsi="Cambria Math" w:cs="Arial"/>
                <w:i/>
                <w:sz w:val="20"/>
                <w:szCs w:val="20"/>
              </w:rPr>
            </m:ctrlPr>
          </m:fPr>
          <m:num>
            <m:r>
              <w:rPr>
                <w:rFonts w:ascii="Cambria Math" w:hAnsi="Cambria Math" w:cs="Arial"/>
                <w:sz w:val="20"/>
                <w:szCs w:val="20"/>
              </w:rPr>
              <m:t>20000</m:t>
            </m:r>
          </m:num>
          <m:den>
            <m:r>
              <w:rPr>
                <w:rFonts w:ascii="Cambria Math" w:hAnsi="Cambria Math" w:cs="Arial"/>
                <w:sz w:val="20"/>
                <w:szCs w:val="20"/>
              </w:rPr>
              <m:t>10</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11</m:t>
            </m:r>
          </m:num>
          <m:den>
            <m:r>
              <w:rPr>
                <w:rFonts w:ascii="Cambria Math" w:hAnsi="Cambria Math" w:cs="Arial"/>
                <w:sz w:val="20"/>
                <w:szCs w:val="20"/>
              </w:rPr>
              <m:t>12</m:t>
            </m:r>
          </m:den>
        </m:f>
        <m:r>
          <w:rPr>
            <w:rFonts w:ascii="Cambria Math" w:hAnsi="Cambria Math" w:cs="Arial"/>
            <w:sz w:val="20"/>
            <w:szCs w:val="20"/>
          </w:rPr>
          <m:t>=1833</m:t>
        </m:r>
      </m:oMath>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hAnsi="Cambria Math" w:cs="Arial"/>
            <w:sz w:val="20"/>
            <w:szCs w:val="20"/>
          </w:rPr>
          <m:t>Revenue=55000+2000+1000=58000</m:t>
        </m:r>
      </m:oMath>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hAnsi="Cambria Math" w:cs="Arial"/>
            <w:sz w:val="20"/>
            <w:szCs w:val="20"/>
          </w:rPr>
          <m:t xml:space="preserve">As 1000Rs worth office supplies were left , only Rs1000 is expense.Other 1000Rs goes </m:t>
        </m:r>
      </m:oMath>
    </w:p>
    <w:p w:rsidR="0066028D" w:rsidRPr="0066028D" w:rsidRDefault="0066028D" w:rsidP="0066028D">
      <w:pPr>
        <w:pStyle w:val="ListParagraph"/>
        <w:tabs>
          <w:tab w:val="left" w:pos="2330"/>
        </w:tabs>
        <w:ind w:left="1080"/>
        <w:rPr>
          <w:rFonts w:ascii="Arial" w:eastAsiaTheme="minorEastAsia" w:hAnsi="Arial" w:cs="Arial"/>
          <w:sz w:val="20"/>
          <w:szCs w:val="20"/>
        </w:rPr>
      </w:pPr>
      <m:oMathPara>
        <m:oMath>
          <m:r>
            <w:rPr>
              <w:rFonts w:ascii="Cambria Math" w:hAnsi="Cambria Math" w:cs="Arial"/>
              <w:sz w:val="20"/>
              <w:szCs w:val="20"/>
            </w:rPr>
            <m:t>on investing in statement of financial posiition</m:t>
          </m:r>
        </m:oMath>
      </m:oMathPara>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eastAsiaTheme="minorEastAsia" w:hAnsi="Cambria Math" w:cs="Arial"/>
            <w:sz w:val="20"/>
            <w:szCs w:val="20"/>
          </w:rPr>
          <m:t>Trade receivables=1500+2000=3500</m:t>
        </m:r>
      </m:oMath>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m:oMath>
        <m:r>
          <w:rPr>
            <w:rFonts w:ascii="Cambria Math" w:eastAsiaTheme="minorEastAsia" w:hAnsi="Cambria Math" w:cs="Arial"/>
            <w:sz w:val="20"/>
            <w:szCs w:val="20"/>
          </w:rPr>
          <m:t>Prepaid Rent For Next Year</m:t>
        </m:r>
        <m:r>
          <w:rPr>
            <w:rFonts w:ascii="Cambria Math" w:eastAsiaTheme="minorEastAsia" w:hAnsi="Cambria Math" w:cs="Arial"/>
            <w:sz w:val="20"/>
            <w:szCs w:val="20"/>
          </w:rPr>
          <m:t xml:space="preserve"> =1000*</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1.05</m:t>
            </m:r>
          </m:e>
          <m:sup>
            <m:r>
              <w:rPr>
                <w:rFonts w:ascii="Cambria Math" w:eastAsiaTheme="minorEastAsia" w:hAnsi="Cambria Math" w:cs="Arial"/>
                <w:sz w:val="20"/>
                <w:szCs w:val="20"/>
              </w:rPr>
              <m:t>11</m:t>
            </m:r>
          </m:sup>
        </m:sSup>
        <m:r>
          <w:rPr>
            <w:rFonts w:ascii="Cambria Math" w:eastAsiaTheme="minorEastAsia" w:hAnsi="Cambria Math" w:cs="Arial"/>
            <w:sz w:val="20"/>
            <w:szCs w:val="20"/>
          </w:rPr>
          <m:t>=1710</m:t>
        </m:r>
      </m:oMath>
    </w:p>
    <w:p w:rsidR="0066028D" w:rsidRPr="0066028D" w:rsidRDefault="0066028D" w:rsidP="0066028D">
      <w:pPr>
        <w:pStyle w:val="ListParagraph"/>
        <w:numPr>
          <w:ilvl w:val="0"/>
          <w:numId w:val="8"/>
        </w:numPr>
        <w:tabs>
          <w:tab w:val="left" w:pos="2330"/>
        </w:tabs>
        <w:rPr>
          <w:rFonts w:ascii="Arial" w:eastAsiaTheme="minorEastAsia" w:hAnsi="Arial" w:cs="Arial"/>
          <w:sz w:val="20"/>
          <w:szCs w:val="20"/>
        </w:rPr>
      </w:pPr>
      <w:bookmarkStart w:id="0" w:name="_GoBack"/>
      <w:bookmarkEnd w:id="0"/>
      <m:oMath>
        <m:r>
          <w:rPr>
            <w:rFonts w:ascii="Cambria Math" w:eastAsiaTheme="minorEastAsia" w:hAnsi="Cambria Math" w:cs="Arial"/>
            <w:sz w:val="20"/>
            <w:szCs w:val="20"/>
          </w:rPr>
          <m:t>Unpaid Salaries added to salary expense and considered as a liability.</m:t>
        </m:r>
      </m:oMath>
    </w:p>
    <w:sectPr w:rsidR="0066028D" w:rsidRPr="006602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CFA" w:rsidRDefault="00051CFA" w:rsidP="003E31DF">
      <w:pPr>
        <w:spacing w:after="0" w:line="240" w:lineRule="auto"/>
      </w:pPr>
      <w:r>
        <w:separator/>
      </w:r>
    </w:p>
  </w:endnote>
  <w:endnote w:type="continuationSeparator" w:id="0">
    <w:p w:rsidR="00051CFA" w:rsidRDefault="00051CFA" w:rsidP="003E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CFA" w:rsidRDefault="00051CFA" w:rsidP="003E31DF">
      <w:pPr>
        <w:spacing w:after="0" w:line="240" w:lineRule="auto"/>
      </w:pPr>
      <w:r>
        <w:separator/>
      </w:r>
    </w:p>
  </w:footnote>
  <w:footnote w:type="continuationSeparator" w:id="0">
    <w:p w:rsidR="00051CFA" w:rsidRDefault="00051CFA" w:rsidP="003E3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B1B" w:rsidRDefault="00617B1B">
    <w:pPr>
      <w:pStyle w:val="Header"/>
    </w:pPr>
    <w:r>
      <w:t>Sahilshah_33</w:t>
    </w:r>
  </w:p>
  <w:p w:rsidR="00617B1B" w:rsidRDefault="00617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64B4"/>
    <w:multiLevelType w:val="hybridMultilevel"/>
    <w:tmpl w:val="461043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CF6414"/>
    <w:multiLevelType w:val="hybridMultilevel"/>
    <w:tmpl w:val="2396A7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DD3530"/>
    <w:multiLevelType w:val="hybridMultilevel"/>
    <w:tmpl w:val="7160EC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219920D4"/>
    <w:multiLevelType w:val="hybridMultilevel"/>
    <w:tmpl w:val="E92E4366"/>
    <w:lvl w:ilvl="0" w:tplc="816EFE8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92A4F04"/>
    <w:multiLevelType w:val="hybridMultilevel"/>
    <w:tmpl w:val="03C62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5FC74A7"/>
    <w:multiLevelType w:val="hybridMultilevel"/>
    <w:tmpl w:val="9D7C1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CC8016D"/>
    <w:multiLevelType w:val="hybridMultilevel"/>
    <w:tmpl w:val="E5EC2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3E61736"/>
    <w:multiLevelType w:val="hybridMultilevel"/>
    <w:tmpl w:val="30129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D3"/>
    <w:rsid w:val="00051CFA"/>
    <w:rsid w:val="00083718"/>
    <w:rsid w:val="000C5A9B"/>
    <w:rsid w:val="000C628F"/>
    <w:rsid w:val="003E31DF"/>
    <w:rsid w:val="0046490A"/>
    <w:rsid w:val="004C1AE3"/>
    <w:rsid w:val="005F6EC7"/>
    <w:rsid w:val="0060634A"/>
    <w:rsid w:val="00617B1B"/>
    <w:rsid w:val="00641FD1"/>
    <w:rsid w:val="0066028D"/>
    <w:rsid w:val="006E7BE8"/>
    <w:rsid w:val="00701581"/>
    <w:rsid w:val="007E15F1"/>
    <w:rsid w:val="008B1C1F"/>
    <w:rsid w:val="008C07E6"/>
    <w:rsid w:val="008F7A76"/>
    <w:rsid w:val="00916F97"/>
    <w:rsid w:val="009640B5"/>
    <w:rsid w:val="00A919D3"/>
    <w:rsid w:val="00C03B06"/>
    <w:rsid w:val="00C04EAF"/>
    <w:rsid w:val="00C84679"/>
    <w:rsid w:val="00CC4CA5"/>
    <w:rsid w:val="00D627C8"/>
    <w:rsid w:val="00EC43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8FA1D-A3B9-4D2B-B1F6-1764144E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9D3"/>
    <w:pPr>
      <w:ind w:left="720"/>
      <w:contextualSpacing/>
    </w:pPr>
  </w:style>
  <w:style w:type="table" w:styleId="TableGrid">
    <w:name w:val="Table Grid"/>
    <w:basedOn w:val="TableNormal"/>
    <w:uiPriority w:val="39"/>
    <w:rsid w:val="00EC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EC4379"/>
  </w:style>
  <w:style w:type="paragraph" w:styleId="Header">
    <w:name w:val="header"/>
    <w:basedOn w:val="Normal"/>
    <w:link w:val="HeaderChar"/>
    <w:uiPriority w:val="99"/>
    <w:unhideWhenUsed/>
    <w:rsid w:val="003E3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1DF"/>
  </w:style>
  <w:style w:type="paragraph" w:styleId="Footer">
    <w:name w:val="footer"/>
    <w:basedOn w:val="Normal"/>
    <w:link w:val="FooterChar"/>
    <w:uiPriority w:val="99"/>
    <w:unhideWhenUsed/>
    <w:rsid w:val="003E3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1DF"/>
  </w:style>
  <w:style w:type="character" w:styleId="PlaceholderText">
    <w:name w:val="Placeholder Text"/>
    <w:basedOn w:val="DefaultParagraphFont"/>
    <w:uiPriority w:val="99"/>
    <w:semiHidden/>
    <w:rsid w:val="00660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Commom User</dc:creator>
  <cp:keywords/>
  <dc:description/>
  <cp:lastModifiedBy>Dell</cp:lastModifiedBy>
  <cp:revision>3</cp:revision>
  <dcterms:created xsi:type="dcterms:W3CDTF">2021-04-25T15:24:00Z</dcterms:created>
  <dcterms:modified xsi:type="dcterms:W3CDTF">2021-04-27T15:52:00Z</dcterms:modified>
</cp:coreProperties>
</file>