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91695" w:rsidRPr="00991695" w:rsidRDefault="00991695">
      <w:pPr>
        <w:rPr>
          <w:rStyle w:val="fontstyle01"/>
          <w:rFonts w:ascii="Arial" w:hAnsi="Arial" w:cs="Arial"/>
          <w:sz w:val="36"/>
          <w:szCs w:val="36"/>
        </w:rPr>
      </w:pPr>
      <w:bookmarkStart w:id="0" w:name="_GoBack"/>
      <w:bookmarkEnd w:id="0"/>
    </w:p>
    <w:p w:rsidR="00991695" w:rsidRPr="00991695" w:rsidRDefault="00991695" w:rsidP="00991695">
      <w:pPr>
        <w:tabs>
          <w:tab w:val="left" w:pos="2784"/>
        </w:tabs>
        <w:jc w:val="center"/>
        <w:rPr>
          <w:rStyle w:val="fontstyle01"/>
          <w:rFonts w:ascii="Arial" w:hAnsi="Arial" w:cs="Arial"/>
          <w:b/>
          <w:bCs/>
          <w:sz w:val="36"/>
          <w:szCs w:val="36"/>
        </w:rPr>
      </w:pPr>
      <w:r w:rsidRPr="00991695">
        <w:rPr>
          <w:rStyle w:val="fontstyle01"/>
          <w:rFonts w:ascii="Arial" w:hAnsi="Arial" w:cs="Arial"/>
          <w:b/>
          <w:bCs/>
          <w:sz w:val="36"/>
          <w:szCs w:val="36"/>
        </w:rPr>
        <w:t xml:space="preserve">Assignment 1 </w:t>
      </w:r>
    </w:p>
    <w:p w:rsidR="00991695" w:rsidRPr="00991695" w:rsidRDefault="00991695" w:rsidP="00991695">
      <w:pPr>
        <w:tabs>
          <w:tab w:val="left" w:pos="2784"/>
        </w:tabs>
        <w:jc w:val="center"/>
        <w:rPr>
          <w:rStyle w:val="fontstyle01"/>
          <w:rFonts w:ascii="Arial" w:hAnsi="Arial" w:cs="Arial"/>
          <w:b/>
          <w:bCs/>
          <w:sz w:val="36"/>
          <w:szCs w:val="36"/>
        </w:rPr>
      </w:pPr>
      <w:r w:rsidRPr="00991695">
        <w:rPr>
          <w:rStyle w:val="fontstyle01"/>
          <w:rFonts w:ascii="Arial" w:hAnsi="Arial" w:cs="Arial"/>
          <w:b/>
          <w:bCs/>
          <w:sz w:val="36"/>
          <w:szCs w:val="36"/>
        </w:rPr>
        <w:t>Roll no 421</w:t>
      </w:r>
    </w:p>
    <w:p w:rsidR="00991695" w:rsidRPr="00991695" w:rsidRDefault="00991695" w:rsidP="00991695">
      <w:pPr>
        <w:tabs>
          <w:tab w:val="left" w:pos="2784"/>
        </w:tabs>
        <w:jc w:val="center"/>
        <w:rPr>
          <w:rStyle w:val="fontstyle01"/>
          <w:rFonts w:ascii="Arial" w:hAnsi="Arial" w:cs="Arial"/>
          <w:b/>
          <w:bCs/>
          <w:sz w:val="36"/>
          <w:szCs w:val="36"/>
        </w:rPr>
      </w:pP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Style w:val="fontstyle01"/>
          <w:rFonts w:ascii="Arial" w:hAnsi="Arial" w:cs="Arial"/>
          <w:sz w:val="36"/>
          <w:szCs w:val="36"/>
        </w:rPr>
        <w:t xml:space="preserve">1] </w:t>
      </w:r>
      <w:r w:rsidRPr="00991695">
        <w:rPr>
          <w:rStyle w:val="fontstyle21"/>
          <w:rFonts w:ascii="Arial" w:hAnsi="Arial" w:cs="Arial"/>
          <w:sz w:val="36"/>
          <w:szCs w:val="36"/>
        </w:rPr>
        <w:t>The effective annual yield on the semi-annual coupon bond is 8.16%.If the annual coupon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bonds are to sell at par, they must offer the same yield , which will require an annual coupon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of 8.16%.</w:t>
      </w: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2] (a) r1 = (110/106.8) - 1 = 3.00%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 xml:space="preserve">101.93 = [5/(1 + r1)]+ [105/(1 + r2)^2] </w:t>
      </w:r>
      <w:r w:rsidRPr="00991695">
        <w:rPr>
          <w:rStyle w:val="fontstyle31"/>
          <w:rFonts w:ascii="Cambria Math" w:hAnsi="Cambria Math" w:cs="Cambria Math"/>
          <w:sz w:val="36"/>
          <w:szCs w:val="36"/>
        </w:rPr>
        <w:t>⇒</w:t>
      </w:r>
      <w:r w:rsidRPr="00991695">
        <w:rPr>
          <w:rStyle w:val="fontstyle31"/>
          <w:rFonts w:ascii="Arial" w:hAnsi="Arial" w:cs="Arial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r2 = 4.00%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 xml:space="preserve">111.31 = [10 /(1 + r1 )]+ [10 /(1 + r2) ^2] + [110 /(1 + r3)^3] </w:t>
      </w:r>
      <w:r w:rsidRPr="00991695">
        <w:rPr>
          <w:rStyle w:val="fontstyle31"/>
          <w:rFonts w:ascii="Cambria Math" w:hAnsi="Cambria Math" w:cs="Cambria Math"/>
          <w:sz w:val="36"/>
          <w:szCs w:val="36"/>
        </w:rPr>
        <w:t>⇒</w:t>
      </w:r>
      <w:r w:rsidRPr="00991695">
        <w:rPr>
          <w:rStyle w:val="fontstyle31"/>
          <w:rFonts w:ascii="Arial" w:hAnsi="Arial" w:cs="Arial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r3 = 6.00%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(b) f2 = [(1 + r2)^ 2] /[(1 + r1) – 1] = 5.0%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01"/>
          <w:rFonts w:ascii="Arial" w:hAnsi="Arial" w:cs="Arial"/>
          <w:sz w:val="36"/>
          <w:szCs w:val="36"/>
        </w:rPr>
        <w:t xml:space="preserve">3] </w:t>
      </w:r>
      <w:r w:rsidRPr="00991695">
        <w:rPr>
          <w:rStyle w:val="fontstyle21"/>
          <w:rFonts w:ascii="Arial" w:hAnsi="Arial" w:cs="Arial"/>
          <w:sz w:val="36"/>
          <w:szCs w:val="36"/>
        </w:rPr>
        <w:t>(a) Price = PV of cash flows = 100(1 +r)/ (1+r) + 100(1 +r) ^2/ (1 +r) ^2 +· · · =400.00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(b) Duration = (1 + 2 + 3 + 4)/4 = 2.5 years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(c) Put 50% in each. Then the duration of your liability = 2.5 = duration of your assets =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0.5(1)+0.5(4)</w:t>
      </w: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01"/>
          <w:rFonts w:ascii="Arial" w:hAnsi="Arial" w:cs="Arial"/>
          <w:sz w:val="36"/>
          <w:szCs w:val="36"/>
        </w:rPr>
        <w:t xml:space="preserve">4] </w:t>
      </w:r>
      <w:r w:rsidRPr="00991695">
        <w:rPr>
          <w:rStyle w:val="fontstyle21"/>
          <w:rFonts w:ascii="Arial" w:hAnsi="Arial" w:cs="Arial"/>
          <w:sz w:val="36"/>
          <w:szCs w:val="36"/>
        </w:rPr>
        <w:t>(b) the entire value of the treasury strip is in the principal repayment in the distant future; it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has the highest duration and is most sensitive to a change in the interest rate.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(c) despite having the same maturity as (b), (c) has 5.5% coupon payments that dampen its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sensitivity to interest rate changes.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(d) higher coupon payment → lower duration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lastRenderedPageBreak/>
        <w:t>(a) T-bills are only for 1 to 6 months; they have the smallest duration.</w:t>
      </w: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01"/>
          <w:rFonts w:ascii="Arial" w:hAnsi="Arial" w:cs="Arial"/>
          <w:sz w:val="36"/>
          <w:szCs w:val="36"/>
        </w:rPr>
        <w:t xml:space="preserve">6] </w:t>
      </w:r>
      <w:r w:rsidRPr="00991695">
        <w:rPr>
          <w:rStyle w:val="fontstyle21"/>
          <w:rFonts w:ascii="Arial" w:hAnsi="Arial" w:cs="Arial"/>
          <w:sz w:val="36"/>
          <w:szCs w:val="36"/>
        </w:rPr>
        <w:t>If the underwriter purchases the bonds from the corporate client, then it assumes the full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risk of being unable to resell the bonds at the stipulated offering price. In other words, the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underwriter bears the risk of interest rate movement between the time of purchase and the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time of resale. For long maturity bonds, it is generally true that its duration is also long. Thus,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bonds with long maturities are more exposed to interest rate movement risk. Therefore, the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underwriter demands a larger spread (higher underwriting fees) between the purchase price</w:t>
      </w:r>
      <w:r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and stipulated offering price.</w:t>
      </w: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01"/>
          <w:rFonts w:ascii="Arial" w:hAnsi="Arial" w:cs="Arial"/>
          <w:sz w:val="36"/>
          <w:szCs w:val="36"/>
        </w:rPr>
        <w:t xml:space="preserve">7] </w:t>
      </w:r>
      <w:r w:rsidRPr="00991695">
        <w:rPr>
          <w:rStyle w:val="fontstyle21"/>
          <w:rFonts w:ascii="Arial" w:hAnsi="Arial" w:cs="Arial"/>
          <w:sz w:val="36"/>
          <w:szCs w:val="36"/>
        </w:rPr>
        <w:t>Disagree: floater moves with market rates</w:t>
      </w:r>
      <w:r>
        <w:rPr>
          <w:rStyle w:val="fontstyle21"/>
          <w:rFonts w:ascii="Arial" w:hAnsi="Arial" w:cs="Arial"/>
          <w:sz w:val="36"/>
          <w:szCs w:val="36"/>
        </w:rPr>
        <w:t>.</w:t>
      </w:r>
    </w:p>
    <w:p w:rsidR="00991695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8]a) We have a 10-year 6% coupon bond with a par value of $1,000 and a required yield of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15%. Given C = 0.06($1,000) / 2 = $30, n = 2(10) = 20 and r = 0.15 / 2 = 0.075, the present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value of the coupon payments is: $305.835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The present value of the par or maturity value of $1,000 is: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235.413. Thus, the price of the bond (P) = $305.835 + $235.413 = $541.25.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b) if 15% = Thus, the price of the bond (P) = $305.835 + $235.413 = $541.25.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if 16% =Thus, the price of the bond (P) = $294.544 + $214.548= $509.09.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lastRenderedPageBreak/>
        <w:t>(509.09 - 541.25)/541.25 = -5.9%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c) We have a 10-year 6% coupon bond with a par value of $1,000 and a required yield of 5%.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Given C = 0.06($1,000) / 2 = $30, n = 2(10) = 20 and r = 0.05 / 2 = 0.025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Thus, the price of the bond (P) = $467.675 + $610.271 = $1,077.95.</w:t>
      </w:r>
      <w:r w:rsidRPr="00991695">
        <w:rPr>
          <w:rFonts w:ascii="Arial" w:hAnsi="Arial" w:cs="Arial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d) The price of the bond (P) = $446.324 + $553.676 = $1,000.00. [NOTE. We already knew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the answer would be $1,000 because the coupon rate equals the yield to maturity.]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The bond price falls with the percentage fall equal to ($1,000.00 - $1,077.95) / $1,077.95 =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-0.072310 or about -7.23%.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e) We can say that there is more volatility in a low-interest-rate environment because there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was a greater fall (-7.23% versus -5.94%).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9] Step 1: Compute the total coupon payments plus the interest on interest, assuming an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annual reinvestment rate of 9.4%, or 4.7% every six months. The coupon payments are $45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every six months for five years or ten periods (the planned investment horizon). Applying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equation (3.7), the total coupon interest plus interest on interest is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= 45[{(1.047)^10 - 1}/.047 = 45(12.40162) = $558.14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Step 2: Determining the projected sale price at the end of five years, assuming that the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 xml:space="preserve">required yield to maturity for two-year bonds is 11.2%, is </w:t>
      </w:r>
      <w:r w:rsidRPr="00991695">
        <w:rPr>
          <w:rStyle w:val="fontstyle21"/>
          <w:rFonts w:ascii="Arial" w:hAnsi="Arial" w:cs="Arial"/>
          <w:sz w:val="36"/>
          <w:szCs w:val="36"/>
        </w:rPr>
        <w:lastRenderedPageBreak/>
        <w:t>accomplished by calculating the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present value of four coupon payments of $45 plus the present value of the maturity value of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$1,000, discounted at 5.6%. As seen below, the projected sale price is $961.53.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projected sale price = present value of coupon payments + present value of par value =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C[{(1-(1/1+r)^n)}/r) + [M/(1+r)^n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45[{(1-(1/1.056)^4)}/0.056] + [1000/1.056^4]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45[ 3.4970813] + 1000[0.8041634] = 961.53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Step 3: Adding the amounts in steps 1 and 2 gives total future dollars of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$558.14 + $961.53 = $1,519.67.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Step 4: To obtain the semi-annual total return, compute the following: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[total future dollars / purchase price of bonds]^1/n - 1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=[1519.67/1000]^1/10 - 1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=1.042738 - 1 = 0.042738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or 4.2738%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Step 5: Double 4.2738%, for a total return of about 8.55%.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10</w:t>
      </w:r>
      <w:r w:rsidRPr="00991695">
        <w:rPr>
          <w:rStyle w:val="fontstyle01"/>
          <w:rFonts w:ascii="Arial" w:hAnsi="Arial" w:cs="Arial"/>
          <w:sz w:val="36"/>
          <w:szCs w:val="36"/>
        </w:rPr>
        <w:t xml:space="preserve">] </w:t>
      </w:r>
      <w:r w:rsidRPr="00991695">
        <w:rPr>
          <w:rStyle w:val="fontstyle21"/>
          <w:rFonts w:ascii="Arial" w:hAnsi="Arial" w:cs="Arial"/>
          <w:sz w:val="36"/>
          <w:szCs w:val="36"/>
        </w:rPr>
        <w:t>Total return will be the same as the yield to maturity. Thus, the total return is 8%.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11] Agree: because when a bond has no coupon, the duration is equal to its maturity.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Therefore, the effect on price will be the same regardless of interest rates.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lastRenderedPageBreak/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12] Agree: When interest rates are low, Macaulay is barely affected (look at the equation)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13] Duration does a good job of estimating an asset's percentage price change for a small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change in yield. However, it does not do as good a job for a large change in yield. The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percentage price change due to convexity can be used to supplement the approximate price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change using duration.</w:t>
      </w:r>
    </w:p>
    <w:p w:rsidR="00D72FA2" w:rsidRDefault="00991695">
      <w:pPr>
        <w:rPr>
          <w:rStyle w:val="fontstyle21"/>
          <w:rFonts w:ascii="Arial" w:hAnsi="Arial" w:cs="Arial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14] a. The portfolio duration is 9.06 as shown below:</w:t>
      </w:r>
      <w:r w:rsidRPr="00991695">
        <w:rPr>
          <w:rFonts w:ascii="Arial" w:hAnsi="Arial" w:cs="Arial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b. If interest rates change by 50 basis points, the portfolio will change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by approximately 4.53%.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c. The contribution to portfolio duration for each bond is shown in the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last column of the above table.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d. The assumption is that the interest rates for all bonds change by the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same number of basis points.</w:t>
      </w:r>
    </w:p>
    <w:p w:rsidR="00F02C7C" w:rsidRPr="00991695" w:rsidRDefault="00991695">
      <w:pPr>
        <w:rPr>
          <w:rFonts w:ascii="Arial" w:hAnsi="Arial" w:cs="Arial"/>
          <w:color w:val="000000"/>
          <w:sz w:val="36"/>
          <w:szCs w:val="36"/>
        </w:rPr>
      </w:pP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15]a) The graphical depiction of the relationship between the yield on bonds of the same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credit quality but different maturities. Usually constructed from observations of prices and</w:t>
      </w:r>
      <w:r w:rsidR="00D72FA2">
        <w:rPr>
          <w:rFonts w:ascii="Arial" w:hAnsi="Arial" w:cs="Arial"/>
          <w:color w:val="000000"/>
          <w:sz w:val="36"/>
          <w:szCs w:val="36"/>
        </w:rPr>
        <w:t xml:space="preserve"> </w:t>
      </w:r>
      <w:r w:rsidRPr="00991695">
        <w:rPr>
          <w:rStyle w:val="fontstyle21"/>
          <w:rFonts w:ascii="Arial" w:hAnsi="Arial" w:cs="Arial"/>
          <w:sz w:val="36"/>
          <w:szCs w:val="36"/>
        </w:rPr>
        <w:t>yields in the Treasury market.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b) Treasury securities are free from default risk. The Treasury market is the largest and most</w:t>
      </w:r>
      <w:r w:rsidRPr="00991695">
        <w:rPr>
          <w:rFonts w:ascii="Arial" w:hAnsi="Arial" w:cs="Arial"/>
          <w:color w:val="000000"/>
          <w:sz w:val="36"/>
          <w:szCs w:val="36"/>
        </w:rPr>
        <w:br/>
      </w:r>
      <w:r w:rsidRPr="00991695">
        <w:rPr>
          <w:rStyle w:val="fontstyle21"/>
          <w:rFonts w:ascii="Arial" w:hAnsi="Arial" w:cs="Arial"/>
          <w:sz w:val="36"/>
          <w:szCs w:val="36"/>
        </w:rPr>
        <w:t>active bond market offering the fewest problems in terms of illiquidity and infrequent trading.</w:t>
      </w:r>
    </w:p>
    <w:sectPr w:rsidR="00F02C7C" w:rsidRPr="009916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Math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C5"/>
    <w:rsid w:val="004701C5"/>
    <w:rsid w:val="005934A6"/>
    <w:rsid w:val="007853B0"/>
    <w:rsid w:val="0094061F"/>
    <w:rsid w:val="00991695"/>
    <w:rsid w:val="00BC75B5"/>
    <w:rsid w:val="00D7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009008-8463-44BA-896C-D5EAF1896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9169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99169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991695"/>
    <w:rPr>
      <w:rFonts w:ascii="CambriaMath" w:hAnsi="CambriaMath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843</Words>
  <Characters>4807</Characters>
  <Application>Microsoft Office Word</Application>
  <DocSecurity>0</DocSecurity>
  <Lines>40</Lines>
  <Paragraphs>11</Paragraphs>
  <ScaleCrop>false</ScaleCrop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Animish Sathe</dc:creator>
  <cp:keywords/>
  <dc:description/>
  <cp:lastModifiedBy>Animish Sathe</cp:lastModifiedBy>
  <cp:revision>2</cp:revision>
  <dcterms:created xsi:type="dcterms:W3CDTF">2022-05-10T12:25:00Z</dcterms:created>
  <dcterms:modified xsi:type="dcterms:W3CDTF">2022-05-10T12:25:00Z</dcterms:modified>
</cp:coreProperties>
</file>