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54" w:rsidRDefault="007C4D54">
      <w:proofErr w:type="gramStart"/>
      <w:r>
        <w:t>QUESTION 1.</w:t>
      </w:r>
      <w:proofErr w:type="gramEnd"/>
    </w:p>
    <w:p w:rsidR="001265A9" w:rsidRDefault="007C4D54">
      <w:r>
        <w:t>Liquidity preference is</w:t>
      </w:r>
      <w:r w:rsidRPr="007C4D54">
        <w:t xml:space="preserve"> the premium that wealth holders demand for exchanging ready money or bank deposits for safe, non-liquid assets such as government bonds.</w:t>
      </w:r>
    </w:p>
    <w:p w:rsidR="007C4D54" w:rsidRDefault="007C4D54">
      <w:proofErr w:type="gramStart"/>
      <w:r>
        <w:t>QUESTION 2.</w:t>
      </w:r>
      <w:proofErr w:type="gramEnd"/>
    </w:p>
    <w:p w:rsidR="007C4D54" w:rsidRDefault="007C4D54">
      <w:proofErr w:type="gramStart"/>
      <w:r>
        <w:t>QUESTION 3.</w:t>
      </w:r>
      <w:proofErr w:type="gramEnd"/>
    </w:p>
    <w:p w:rsidR="007C4D54" w:rsidRDefault="007C4D54" w:rsidP="007C4D54">
      <w:pPr>
        <w:pStyle w:val="ListParagraph"/>
        <w:numPr>
          <w:ilvl w:val="0"/>
          <w:numId w:val="1"/>
        </w:numPr>
      </w:pPr>
      <w:r>
        <w:t>Companies should not retain profits f the rate of return they can achieve on reinvestment is less than their investors required rate of return which will be determined in large part by the returns and risks relating to alternative investment opportunities</w:t>
      </w:r>
    </w:p>
    <w:p w:rsidR="007C4D54" w:rsidRDefault="007C4D54" w:rsidP="007C4D54">
      <w:pPr>
        <w:pStyle w:val="ListParagraph"/>
        <w:numPr>
          <w:ilvl w:val="0"/>
          <w:numId w:val="1"/>
        </w:numPr>
      </w:pPr>
      <w:r>
        <w:t>Stock markets display significance adverse reactions to announcements of dividend cuts. Managers therefore tend to conservatism in good years, particularly in cyclical industries and for smaller/newer companies.</w:t>
      </w:r>
    </w:p>
    <w:p w:rsidR="007C4D54" w:rsidRDefault="007C4D54" w:rsidP="007C4D54">
      <w:pPr>
        <w:pStyle w:val="ListParagraph"/>
        <w:numPr>
          <w:ilvl w:val="0"/>
          <w:numId w:val="1"/>
        </w:numPr>
      </w:pPr>
      <w:r>
        <w:t>Companies with large cash reserves that fear a takeover bid may well distribute generously to both encourage shareholder and limit the size of the cash pile</w:t>
      </w:r>
    </w:p>
    <w:p w:rsidR="007C4D54" w:rsidRDefault="007C4D54" w:rsidP="007C4D54">
      <w:pPr>
        <w:pStyle w:val="ListParagraph"/>
        <w:numPr>
          <w:ilvl w:val="0"/>
          <w:numId w:val="1"/>
        </w:numPr>
      </w:pPr>
      <w:r>
        <w:t>Companies with a large proportion of non-taxpaying shareholders may feel it appropriate to distribute a large portion of earnings</w:t>
      </w:r>
    </w:p>
    <w:p w:rsidR="007C4D54" w:rsidRDefault="007C4D54" w:rsidP="007C4D54">
      <w:pPr>
        <w:pStyle w:val="ListParagraph"/>
        <w:numPr>
          <w:ilvl w:val="0"/>
          <w:numId w:val="1"/>
        </w:numPr>
      </w:pPr>
      <w:r>
        <w:t>Companies in high growth industries may find that the demands for capital investment to maintain competitive advantage exceed their capacity to borrow on satisfactory terms and may prefer to pay low dividends rather than making frequent rights issues</w:t>
      </w:r>
    </w:p>
    <w:p w:rsidR="007C4D54" w:rsidRDefault="00701D76" w:rsidP="007C4D54">
      <w:pPr>
        <w:pStyle w:val="ListParagraph"/>
        <w:numPr>
          <w:ilvl w:val="0"/>
          <w:numId w:val="1"/>
        </w:numPr>
      </w:pPr>
      <w:r>
        <w:t>Since companies with high dividend policies tend to attract investors any move from one category to the other will cause adverse market reaction as investors readjust their portfolios and a change of dividend policy can have significant repercussions for a company’s market rating and its capacity to raise finance</w:t>
      </w:r>
    </w:p>
    <w:p w:rsidR="00701D76" w:rsidRDefault="00701D76" w:rsidP="00701D76">
      <w:pPr>
        <w:ind w:left="360"/>
      </w:pPr>
      <w:r>
        <w:t>QUESTION 4</w:t>
      </w:r>
    </w:p>
    <w:tbl>
      <w:tblPr>
        <w:tblStyle w:val="TableGrid"/>
        <w:tblW w:w="11340" w:type="dxa"/>
        <w:tblInd w:w="-1026" w:type="dxa"/>
        <w:tblLayout w:type="fixed"/>
        <w:tblLook w:val="04A0"/>
      </w:tblPr>
      <w:tblGrid>
        <w:gridCol w:w="1418"/>
        <w:gridCol w:w="2693"/>
        <w:gridCol w:w="2693"/>
        <w:gridCol w:w="2268"/>
        <w:gridCol w:w="2268"/>
      </w:tblGrid>
      <w:tr w:rsidR="001321BA" w:rsidTr="001321BA">
        <w:tc>
          <w:tcPr>
            <w:tcW w:w="1418" w:type="dxa"/>
          </w:tcPr>
          <w:p w:rsidR="00701D76" w:rsidRDefault="00701D76" w:rsidP="00701D76"/>
        </w:tc>
        <w:tc>
          <w:tcPr>
            <w:tcW w:w="2693" w:type="dxa"/>
          </w:tcPr>
          <w:p w:rsidR="00701D76" w:rsidRDefault="00701D76" w:rsidP="00701D76">
            <w:r>
              <w:t xml:space="preserve">Sole </w:t>
            </w:r>
            <w:proofErr w:type="spellStart"/>
            <w:r>
              <w:t>Propreitor</w:t>
            </w:r>
            <w:proofErr w:type="spellEnd"/>
          </w:p>
        </w:tc>
        <w:tc>
          <w:tcPr>
            <w:tcW w:w="2693" w:type="dxa"/>
          </w:tcPr>
          <w:p w:rsidR="00701D76" w:rsidRDefault="00701D76" w:rsidP="00701D76">
            <w:r>
              <w:t>Partnership Firm</w:t>
            </w:r>
          </w:p>
        </w:tc>
        <w:tc>
          <w:tcPr>
            <w:tcW w:w="2268" w:type="dxa"/>
          </w:tcPr>
          <w:p w:rsidR="00701D76" w:rsidRDefault="00701D76" w:rsidP="00701D76">
            <w:r>
              <w:t>Limited Company</w:t>
            </w:r>
          </w:p>
        </w:tc>
        <w:tc>
          <w:tcPr>
            <w:tcW w:w="2268" w:type="dxa"/>
          </w:tcPr>
          <w:p w:rsidR="00701D76" w:rsidRDefault="00701D76" w:rsidP="00701D76">
            <w:r>
              <w:t>LLP</w:t>
            </w:r>
          </w:p>
        </w:tc>
      </w:tr>
      <w:tr w:rsidR="001321BA" w:rsidTr="001321BA">
        <w:tc>
          <w:tcPr>
            <w:tcW w:w="1418" w:type="dxa"/>
          </w:tcPr>
          <w:p w:rsidR="00701D76" w:rsidRDefault="00701D76" w:rsidP="00701D76">
            <w:r>
              <w:t>Ownership</w:t>
            </w:r>
          </w:p>
        </w:tc>
        <w:tc>
          <w:tcPr>
            <w:tcW w:w="2693" w:type="dxa"/>
          </w:tcPr>
          <w:p w:rsidR="00701D76" w:rsidRDefault="00701D76" w:rsidP="00701D76">
            <w:r>
              <w:t>Owned by 1 person</w:t>
            </w:r>
          </w:p>
        </w:tc>
        <w:tc>
          <w:tcPr>
            <w:tcW w:w="2693" w:type="dxa"/>
          </w:tcPr>
          <w:p w:rsidR="00701D76" w:rsidRDefault="00701D76" w:rsidP="00701D76">
            <w:r>
              <w:t>Owned by 2 or more persons</w:t>
            </w:r>
          </w:p>
        </w:tc>
        <w:tc>
          <w:tcPr>
            <w:tcW w:w="2268" w:type="dxa"/>
          </w:tcPr>
          <w:p w:rsidR="00701D76" w:rsidRDefault="001321BA" w:rsidP="00701D76">
            <w:r>
              <w:t>Members/Shareholders</w:t>
            </w:r>
          </w:p>
        </w:tc>
        <w:tc>
          <w:tcPr>
            <w:tcW w:w="2268" w:type="dxa"/>
          </w:tcPr>
          <w:p w:rsidR="00701D76" w:rsidRDefault="001321BA" w:rsidP="00701D76">
            <w:r>
              <w:t>Members</w:t>
            </w:r>
          </w:p>
        </w:tc>
      </w:tr>
      <w:tr w:rsidR="001321BA" w:rsidTr="001321BA">
        <w:tc>
          <w:tcPr>
            <w:tcW w:w="1418" w:type="dxa"/>
          </w:tcPr>
          <w:p w:rsidR="00701D76" w:rsidRDefault="00701D76" w:rsidP="00701D76">
            <w:r>
              <w:t>Liability</w:t>
            </w:r>
          </w:p>
        </w:tc>
        <w:tc>
          <w:tcPr>
            <w:tcW w:w="2693" w:type="dxa"/>
          </w:tcPr>
          <w:p w:rsidR="00701D76" w:rsidRDefault="00701D76" w:rsidP="00701D76">
            <w:r>
              <w:t>Unlimited Liability</w:t>
            </w:r>
          </w:p>
        </w:tc>
        <w:tc>
          <w:tcPr>
            <w:tcW w:w="2693" w:type="dxa"/>
          </w:tcPr>
          <w:p w:rsidR="00701D76" w:rsidRDefault="00701D76" w:rsidP="00701D76">
            <w:r>
              <w:t>Unlimited Liability</w:t>
            </w:r>
          </w:p>
        </w:tc>
        <w:tc>
          <w:tcPr>
            <w:tcW w:w="2268" w:type="dxa"/>
          </w:tcPr>
          <w:p w:rsidR="00701D76" w:rsidRDefault="00701D76" w:rsidP="00701D76">
            <w:r>
              <w:t>Limited Liability to invested amount</w:t>
            </w:r>
          </w:p>
        </w:tc>
        <w:tc>
          <w:tcPr>
            <w:tcW w:w="2268" w:type="dxa"/>
          </w:tcPr>
          <w:p w:rsidR="00701D76" w:rsidRDefault="00701D76" w:rsidP="00701D76">
            <w:r>
              <w:t>Members have Limited Liability</w:t>
            </w:r>
          </w:p>
        </w:tc>
      </w:tr>
      <w:tr w:rsidR="001321BA" w:rsidTr="001321BA">
        <w:tc>
          <w:tcPr>
            <w:tcW w:w="1418" w:type="dxa"/>
          </w:tcPr>
          <w:p w:rsidR="00701D76" w:rsidRDefault="00701D76" w:rsidP="00701D76">
            <w:r>
              <w:t>Legal Status</w:t>
            </w:r>
          </w:p>
        </w:tc>
        <w:tc>
          <w:tcPr>
            <w:tcW w:w="2693" w:type="dxa"/>
          </w:tcPr>
          <w:p w:rsidR="00701D76" w:rsidRDefault="001321BA" w:rsidP="00701D76">
            <w:r>
              <w:t>Not a Separate Legal Entity</w:t>
            </w:r>
          </w:p>
        </w:tc>
        <w:tc>
          <w:tcPr>
            <w:tcW w:w="2693" w:type="dxa"/>
          </w:tcPr>
          <w:p w:rsidR="00701D76" w:rsidRDefault="001321BA" w:rsidP="00701D76">
            <w:r>
              <w:t>Not a Separate Legal Entity</w:t>
            </w:r>
          </w:p>
        </w:tc>
        <w:tc>
          <w:tcPr>
            <w:tcW w:w="2268" w:type="dxa"/>
          </w:tcPr>
          <w:p w:rsidR="00701D76" w:rsidRDefault="001B379C" w:rsidP="00701D76">
            <w:r>
              <w:t>Separate Legal Identity</w:t>
            </w:r>
          </w:p>
        </w:tc>
        <w:tc>
          <w:tcPr>
            <w:tcW w:w="2268" w:type="dxa"/>
          </w:tcPr>
          <w:p w:rsidR="00701D76" w:rsidRDefault="001B379C" w:rsidP="00701D76">
            <w:r>
              <w:t>Separate Legal Identity</w:t>
            </w:r>
          </w:p>
        </w:tc>
      </w:tr>
    </w:tbl>
    <w:p w:rsidR="00701D76" w:rsidRDefault="00701D76" w:rsidP="00701D76">
      <w:pPr>
        <w:ind w:left="360"/>
      </w:pPr>
    </w:p>
    <w:p w:rsidR="00701D76" w:rsidRDefault="00701D76" w:rsidP="00701D76">
      <w:pPr>
        <w:ind w:left="360"/>
      </w:pPr>
      <w:r>
        <w:t>QUESTION 5</w:t>
      </w:r>
    </w:p>
    <w:p w:rsidR="001321BA" w:rsidRDefault="001321BA" w:rsidP="00701D76">
      <w:pPr>
        <w:ind w:left="360"/>
      </w:pPr>
      <w:r>
        <w:t>Limited companies stand to be more tax efficient than sole traders as rather than paying income tax, they pay corporation tax on their profits which offers a  kinder tax rate meaning forming a limited company can be more profitable keeping only minimisation of tax amount in mind. In addition to this, there’s a wider range of allowances and tax-deductible costs that a limited company can claim against its profits.</w:t>
      </w:r>
    </w:p>
    <w:p w:rsidR="00701D76" w:rsidRDefault="00701D76" w:rsidP="00701D76">
      <w:pPr>
        <w:ind w:left="360"/>
      </w:pPr>
      <w:r>
        <w:t>QUESTION 6</w:t>
      </w:r>
    </w:p>
    <w:p w:rsidR="00701D76" w:rsidRDefault="00701D76" w:rsidP="00701D76">
      <w:pPr>
        <w:ind w:left="360"/>
      </w:pPr>
      <w:r>
        <w:t xml:space="preserve">Capital </w:t>
      </w:r>
      <w:proofErr w:type="gramStart"/>
      <w:r>
        <w:t>Structure(</w:t>
      </w:r>
      <w:proofErr w:type="gramEnd"/>
      <w:r>
        <w:t>financing decision) doesn’t affect the market value of the company, the MV of the company is affected by the investment decision that the financial manager would take.</w:t>
      </w:r>
    </w:p>
    <w:p w:rsidR="001B379C" w:rsidRDefault="001B379C" w:rsidP="00701D76">
      <w:pPr>
        <w:ind w:left="360"/>
      </w:pPr>
    </w:p>
    <w:p w:rsidR="001B379C" w:rsidRDefault="001B379C" w:rsidP="00701D76">
      <w:pPr>
        <w:ind w:left="360"/>
      </w:pPr>
    </w:p>
    <w:p w:rsidR="001B379C" w:rsidRDefault="001B379C" w:rsidP="00701D76">
      <w:pPr>
        <w:ind w:left="360"/>
      </w:pPr>
      <w:r>
        <w:t>QUESTION 7</w:t>
      </w:r>
    </w:p>
    <w:p w:rsidR="001B379C" w:rsidRDefault="001B379C" w:rsidP="00701D76">
      <w:pPr>
        <w:ind w:left="360"/>
      </w:pPr>
      <w:r>
        <w:t xml:space="preserve">Working capital is </w:t>
      </w:r>
      <w:r w:rsidRPr="001B379C">
        <w:t>the capital of a business which is used in its day-to-day trading operations, calculated as the current assets minus the current liabilities.</w:t>
      </w:r>
    </w:p>
    <w:p w:rsidR="001B379C" w:rsidRDefault="001B379C" w:rsidP="00701D76">
      <w:pPr>
        <w:ind w:left="360"/>
      </w:pPr>
      <w:r>
        <w:t xml:space="preserve">Fixed capital is </w:t>
      </w:r>
      <w:r w:rsidRPr="001B379C">
        <w:t>capital invested in fixed assets.</w:t>
      </w:r>
    </w:p>
    <w:p w:rsidR="001B379C" w:rsidRDefault="001B379C" w:rsidP="00701D76">
      <w:pPr>
        <w:ind w:left="360"/>
      </w:pPr>
      <w:r>
        <w:t>Question 8</w:t>
      </w:r>
    </w:p>
    <w:p w:rsidR="001B379C" w:rsidRDefault="001B379C" w:rsidP="00701D76">
      <w:pPr>
        <w:ind w:left="360"/>
      </w:pPr>
      <w:proofErr w:type="gramStart"/>
      <w:r w:rsidRPr="001B379C">
        <w:t>Economies of scale occurs</w:t>
      </w:r>
      <w:proofErr w:type="gramEnd"/>
      <w:r w:rsidRPr="001B379C">
        <w:t xml:space="preserve"> when more units of a good or service can be produced on a larger scale with (on average) fewer input costs.</w:t>
      </w:r>
    </w:p>
    <w:p w:rsidR="000E78FB" w:rsidRDefault="000E78FB" w:rsidP="00701D76">
      <w:pPr>
        <w:ind w:left="360"/>
      </w:pPr>
      <w:r>
        <w:t>Question 9</w:t>
      </w:r>
    </w:p>
    <w:p w:rsidR="000E78FB" w:rsidRDefault="000E78FB" w:rsidP="00701D76">
      <w:pPr>
        <w:ind w:left="360"/>
      </w:pPr>
      <w:r>
        <w:t>Question 10</w:t>
      </w:r>
    </w:p>
    <w:p w:rsidR="000E78FB" w:rsidRDefault="000E78FB" w:rsidP="00701D76">
      <w:pPr>
        <w:ind w:left="360"/>
      </w:pPr>
      <w:r>
        <w:t>Question 11</w:t>
      </w:r>
    </w:p>
    <w:p w:rsidR="000E78FB" w:rsidRDefault="000E78FB" w:rsidP="00701D76">
      <w:pPr>
        <w:ind w:left="360"/>
      </w:pPr>
      <w:r>
        <w:t>Having too much stock equals extra expense for you as it can leads to a shortfall in your cash flow and incur excess storage costs.</w:t>
      </w:r>
    </w:p>
    <w:p w:rsidR="000E78FB" w:rsidRDefault="000E78FB" w:rsidP="00701D76">
      <w:pPr>
        <w:ind w:left="360"/>
      </w:pPr>
    </w:p>
    <w:p w:rsidR="000E78FB" w:rsidRDefault="000E78FB" w:rsidP="00701D76">
      <w:pPr>
        <w:ind w:left="360"/>
      </w:pPr>
    </w:p>
    <w:p w:rsidR="00701D76" w:rsidRDefault="00701D76" w:rsidP="00701D76">
      <w:pPr>
        <w:ind w:left="360"/>
      </w:pPr>
    </w:p>
    <w:sectPr w:rsidR="00701D76" w:rsidSect="001265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9018D"/>
    <w:multiLevelType w:val="hybridMultilevel"/>
    <w:tmpl w:val="62802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D54"/>
    <w:rsid w:val="000E78FB"/>
    <w:rsid w:val="001265A9"/>
    <w:rsid w:val="001321BA"/>
    <w:rsid w:val="001B379C"/>
    <w:rsid w:val="00701D76"/>
    <w:rsid w:val="007C4D54"/>
    <w:rsid w:val="009D5AD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5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D54"/>
    <w:pPr>
      <w:ind w:left="720"/>
      <w:contextualSpacing/>
    </w:pPr>
  </w:style>
  <w:style w:type="table" w:styleId="TableGrid">
    <w:name w:val="Table Grid"/>
    <w:basedOn w:val="TableNormal"/>
    <w:uiPriority w:val="59"/>
    <w:rsid w:val="00701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2021-12-27T08:06:00Z</dcterms:created>
  <dcterms:modified xsi:type="dcterms:W3CDTF">2021-12-27T10:14:00Z</dcterms:modified>
</cp:coreProperties>
</file>