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519A" w14:textId="0569F70F" w:rsidR="00FD36A2" w:rsidRPr="00E72B64" w:rsidRDefault="00577376" w:rsidP="008A796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72B64">
        <w:rPr>
          <w:sz w:val="24"/>
          <w:szCs w:val="24"/>
          <w:lang w:val="en-US"/>
        </w:rPr>
        <w:t xml:space="preserve">The four medical </w:t>
      </w:r>
      <w:r w:rsidR="00227FE9" w:rsidRPr="00E72B64">
        <w:rPr>
          <w:sz w:val="24"/>
          <w:szCs w:val="24"/>
          <w:lang w:val="en-US"/>
        </w:rPr>
        <w:t xml:space="preserve">practitioners should </w:t>
      </w:r>
      <w:r w:rsidR="00672ED0" w:rsidRPr="00E72B64">
        <w:rPr>
          <w:sz w:val="24"/>
          <w:szCs w:val="24"/>
          <w:lang w:val="en-US"/>
        </w:rPr>
        <w:t xml:space="preserve">set up </w:t>
      </w:r>
      <w:r w:rsidR="008A796E" w:rsidRPr="00E72B64">
        <w:rPr>
          <w:sz w:val="24"/>
          <w:szCs w:val="24"/>
          <w:lang w:val="en-US"/>
        </w:rPr>
        <w:t>an</w:t>
      </w:r>
      <w:r w:rsidR="00672ED0" w:rsidRPr="00E72B64">
        <w:rPr>
          <w:sz w:val="24"/>
          <w:szCs w:val="24"/>
          <w:lang w:val="en-US"/>
        </w:rPr>
        <w:t xml:space="preserve"> </w:t>
      </w:r>
      <w:r w:rsidR="008A796E" w:rsidRPr="00E72B64">
        <w:rPr>
          <w:sz w:val="24"/>
          <w:szCs w:val="24"/>
          <w:lang w:val="en-US"/>
        </w:rPr>
        <w:t>LLP (limited liability partnership)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8A796E" w:rsidRPr="00E72B64" w14:paraId="79757DD2" w14:textId="77777777" w:rsidTr="008A796E">
        <w:trPr>
          <w:jc w:val="center"/>
        </w:trPr>
        <w:tc>
          <w:tcPr>
            <w:tcW w:w="4508" w:type="dxa"/>
          </w:tcPr>
          <w:p w14:paraId="57268D71" w14:textId="01D98EA2" w:rsidR="008A796E" w:rsidRPr="00E72B64" w:rsidRDefault="008A796E" w:rsidP="000D0B9F">
            <w:pPr>
              <w:pStyle w:val="Heading2"/>
              <w:jc w:val="center"/>
              <w:outlineLvl w:val="1"/>
              <w:rPr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>Traditional Partnership</w:t>
            </w:r>
          </w:p>
        </w:tc>
        <w:tc>
          <w:tcPr>
            <w:tcW w:w="4508" w:type="dxa"/>
          </w:tcPr>
          <w:p w14:paraId="7D0D11EC" w14:textId="60249F63" w:rsidR="008A796E" w:rsidRPr="00E72B64" w:rsidRDefault="008A796E" w:rsidP="000D0B9F">
            <w:pPr>
              <w:pStyle w:val="Heading2"/>
              <w:jc w:val="center"/>
              <w:outlineLvl w:val="1"/>
              <w:rPr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>Limited Liability Partnership</w:t>
            </w:r>
          </w:p>
        </w:tc>
      </w:tr>
      <w:tr w:rsidR="008A796E" w:rsidRPr="00E72B64" w14:paraId="7063AEE4" w14:textId="77777777" w:rsidTr="008A796E">
        <w:trPr>
          <w:jc w:val="center"/>
        </w:trPr>
        <w:tc>
          <w:tcPr>
            <w:tcW w:w="4508" w:type="dxa"/>
          </w:tcPr>
          <w:p w14:paraId="695B90D7" w14:textId="342061B9" w:rsidR="008A796E" w:rsidRPr="00E72B64" w:rsidRDefault="00A132B6" w:rsidP="008A796E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>It is a business</w:t>
            </w:r>
            <w:r w:rsidR="000D0B9F" w:rsidRPr="00E72B64">
              <w:rPr>
                <w:sz w:val="24"/>
                <w:szCs w:val="24"/>
                <w:lang w:val="en-US"/>
              </w:rPr>
              <w:t xml:space="preserve"> partnership</w:t>
            </w:r>
            <w:r w:rsidRPr="00E72B64">
              <w:rPr>
                <w:sz w:val="24"/>
                <w:szCs w:val="24"/>
                <w:lang w:val="en-US"/>
              </w:rPr>
              <w:t xml:space="preserve"> owned by more than one person </w:t>
            </w:r>
          </w:p>
        </w:tc>
        <w:tc>
          <w:tcPr>
            <w:tcW w:w="4508" w:type="dxa"/>
          </w:tcPr>
          <w:p w14:paraId="78D0769F" w14:textId="6285C9D2" w:rsidR="008A796E" w:rsidRPr="00E72B64" w:rsidRDefault="006D1FC2" w:rsidP="008A796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 xml:space="preserve">It is a firm consisting of two or more </w:t>
            </w:r>
            <w:r w:rsidRPr="00E72B64">
              <w:rPr>
                <w:b/>
                <w:bCs/>
                <w:sz w:val="24"/>
                <w:szCs w:val="24"/>
                <w:lang w:val="en-US"/>
              </w:rPr>
              <w:t>members</w:t>
            </w:r>
          </w:p>
        </w:tc>
      </w:tr>
      <w:tr w:rsidR="008A796E" w:rsidRPr="00E72B64" w14:paraId="5EDA41FF" w14:textId="77777777" w:rsidTr="008A796E">
        <w:trPr>
          <w:jc w:val="center"/>
        </w:trPr>
        <w:tc>
          <w:tcPr>
            <w:tcW w:w="4508" w:type="dxa"/>
          </w:tcPr>
          <w:p w14:paraId="6B89617C" w14:textId="6D65BFB5" w:rsidR="008A796E" w:rsidRPr="00E72B64" w:rsidRDefault="000D6CD0" w:rsidP="008A796E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 xml:space="preserve">Liability of each partner is unlimited </w:t>
            </w:r>
          </w:p>
        </w:tc>
        <w:tc>
          <w:tcPr>
            <w:tcW w:w="4508" w:type="dxa"/>
          </w:tcPr>
          <w:p w14:paraId="106DC990" w14:textId="44B73C5C" w:rsidR="008A796E" w:rsidRPr="00E72B64" w:rsidRDefault="000D6CD0" w:rsidP="008A796E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>Liability of each member is limited</w:t>
            </w:r>
          </w:p>
        </w:tc>
      </w:tr>
      <w:tr w:rsidR="008A796E" w:rsidRPr="00E72B64" w14:paraId="45686274" w14:textId="77777777" w:rsidTr="008A796E">
        <w:trPr>
          <w:jc w:val="center"/>
        </w:trPr>
        <w:tc>
          <w:tcPr>
            <w:tcW w:w="4508" w:type="dxa"/>
          </w:tcPr>
          <w:p w14:paraId="031488C4" w14:textId="4109C0C6" w:rsidR="008A796E" w:rsidRPr="00E72B64" w:rsidRDefault="000D6CD0" w:rsidP="008A796E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>Each partner is liable to the full extent of their personal estate for the deficiencies of the partnership</w:t>
            </w:r>
          </w:p>
        </w:tc>
        <w:tc>
          <w:tcPr>
            <w:tcW w:w="4508" w:type="dxa"/>
          </w:tcPr>
          <w:p w14:paraId="45CF8684" w14:textId="3EAB2949" w:rsidR="008A796E" w:rsidRPr="00E72B64" w:rsidRDefault="000D6CD0" w:rsidP="008A796E">
            <w:pPr>
              <w:pStyle w:val="List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72B64">
              <w:rPr>
                <w:sz w:val="24"/>
                <w:szCs w:val="24"/>
                <w:lang w:val="en-US"/>
              </w:rPr>
              <w:t xml:space="preserve">Actions may be taken against individual member who are found to be negligent or fraudulent in </w:t>
            </w:r>
            <w:r w:rsidR="00A93F98" w:rsidRPr="00E72B64">
              <w:rPr>
                <w:sz w:val="24"/>
                <w:szCs w:val="24"/>
                <w:lang w:val="en-US"/>
              </w:rPr>
              <w:t>their dealings</w:t>
            </w:r>
            <w:r w:rsidRPr="00E72B64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3BF29F5" w14:textId="23BF0EC2" w:rsidR="00A93F98" w:rsidRPr="00A93F98" w:rsidRDefault="00A93F98" w:rsidP="00A93F98">
      <w:pPr>
        <w:pStyle w:val="ListParagraph"/>
        <w:numPr>
          <w:ilvl w:val="0"/>
          <w:numId w:val="2"/>
        </w:numPr>
        <w:rPr>
          <w:lang w:val="en-US"/>
        </w:rPr>
      </w:pPr>
      <w:r w:rsidRPr="00A93F98">
        <w:rPr>
          <w:rFonts w:ascii="Arial" w:hAnsi="Arial" w:cs="Arial"/>
          <w:color w:val="202124"/>
          <w:shd w:val="clear" w:color="auto" w:fill="FFFFFF"/>
        </w:rPr>
        <w:t>A company's earnings per share (EPS) is defined as earnings available to common shareholders divided by common stock shares outstanding, and the ratio is a key indicator of a firm's shareholder value. When a company can increase earnings, the ratio increases and investors view the company as more valuable</w:t>
      </w:r>
      <w:r>
        <w:rPr>
          <w:rFonts w:ascii="Arial" w:hAnsi="Arial" w:cs="Arial"/>
          <w:color w:val="202124"/>
          <w:shd w:val="clear" w:color="auto" w:fill="FFFFFF"/>
        </w:rPr>
        <w:t xml:space="preserve">. Hence </w:t>
      </w:r>
      <w:r w:rsidRPr="00A93F98">
        <w:rPr>
          <w:rFonts w:ascii="Arial" w:hAnsi="Arial" w:cs="Arial"/>
          <w:color w:val="202124"/>
          <w:shd w:val="clear" w:color="auto" w:fill="FFFFFF"/>
        </w:rPr>
        <w:t xml:space="preserve">according to me </w:t>
      </w:r>
      <w:r>
        <w:rPr>
          <w:rFonts w:ascii="Arial" w:hAnsi="Arial" w:cs="Arial"/>
          <w:color w:val="202124"/>
          <w:shd w:val="clear" w:color="auto" w:fill="FFFFFF"/>
        </w:rPr>
        <w:t>the CFO is right.</w:t>
      </w:r>
    </w:p>
    <w:p w14:paraId="73A5E6AA" w14:textId="34E2F2E9" w:rsidR="00A93F98" w:rsidRDefault="003D59FF" w:rsidP="00C7637D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C7637D">
        <w:rPr>
          <w:sz w:val="24"/>
          <w:szCs w:val="24"/>
          <w:lang w:val="en-US"/>
        </w:rPr>
        <w:t xml:space="preserve">As an investor in a startup suggest that MR KEVIN must subscribe to convertibles as </w:t>
      </w:r>
      <w:r w:rsidR="00C7637D" w:rsidRPr="00C7637D">
        <w:rPr>
          <w:sz w:val="24"/>
          <w:szCs w:val="24"/>
          <w:lang w:val="en-US"/>
        </w:rPr>
        <w:t>c</w:t>
      </w:r>
      <w:r w:rsidRPr="00C7637D">
        <w:rPr>
          <w:sz w:val="24"/>
          <w:szCs w:val="24"/>
          <w:lang w:val="en-US"/>
        </w:rPr>
        <w:t>onvertible forms of company securities are, almost invariably, unsecured loan stocks or preference shares that convert into ordinary shares of the issuing company.</w:t>
      </w:r>
      <w:r w:rsidR="00C7637D" w:rsidRPr="00C7637D">
        <w:t xml:space="preserve"> </w:t>
      </w:r>
      <w:r w:rsidR="00C7637D" w:rsidRPr="00C7637D">
        <w:rPr>
          <w:sz w:val="24"/>
          <w:szCs w:val="24"/>
          <w:lang w:val="en-US"/>
        </w:rPr>
        <w:t>Convertibles generally provide higher income than ordinary shares and lower income than conventional loan stock or preference shares.</w:t>
      </w:r>
      <w:r w:rsidR="00C7637D" w:rsidRPr="00C7637D">
        <w:t xml:space="preserve"> </w:t>
      </w:r>
      <w:r w:rsidR="00C7637D" w:rsidRPr="00C7637D">
        <w:rPr>
          <w:sz w:val="24"/>
          <w:szCs w:val="24"/>
          <w:lang w:val="en-US"/>
        </w:rPr>
        <w:t>From the investor’s point of view, convertible securities offer the opportunity to combine the lower risk of a debt</w:t>
      </w:r>
      <w:r w:rsidR="00C7637D">
        <w:rPr>
          <w:sz w:val="24"/>
          <w:szCs w:val="24"/>
          <w:lang w:val="en-US"/>
        </w:rPr>
        <w:t xml:space="preserve"> </w:t>
      </w:r>
      <w:r w:rsidR="00C7637D" w:rsidRPr="00C7637D">
        <w:rPr>
          <w:sz w:val="24"/>
          <w:szCs w:val="24"/>
          <w:lang w:val="en-US"/>
        </w:rPr>
        <w:t>security with the potential for large gains of an equity. The price paid for this is a lower running yield than on a normal loan stock or preference share.</w:t>
      </w:r>
    </w:p>
    <w:p w14:paraId="018DB621" w14:textId="28B01A7B" w:rsidR="00C7637D" w:rsidRDefault="00E72B64" w:rsidP="00C7637D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E72B64">
        <w:rPr>
          <w:sz w:val="24"/>
          <w:szCs w:val="24"/>
          <w:lang w:val="en-US"/>
        </w:rPr>
        <w:t>he differences between private Ltd and public Ltd.</w:t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4868"/>
        <w:gridCol w:w="4148"/>
      </w:tblGrid>
      <w:tr w:rsidR="00C7637D" w14:paraId="6690B3D6" w14:textId="77777777" w:rsidTr="00E72B64">
        <w:tc>
          <w:tcPr>
            <w:tcW w:w="4868" w:type="dxa"/>
          </w:tcPr>
          <w:p w14:paraId="5F8C6839" w14:textId="5F52EEE3" w:rsidR="00C7637D" w:rsidRDefault="00E72B64" w:rsidP="00E72B64">
            <w:pPr>
              <w:pStyle w:val="Heading2"/>
              <w:outlineLvl w:val="1"/>
              <w:rPr>
                <w:lang w:val="en-US"/>
              </w:rPr>
            </w:pPr>
            <w:r>
              <w:rPr>
                <w:lang w:val="en-US"/>
              </w:rPr>
              <w:t>Private Limited</w:t>
            </w:r>
          </w:p>
        </w:tc>
        <w:tc>
          <w:tcPr>
            <w:tcW w:w="4148" w:type="dxa"/>
          </w:tcPr>
          <w:p w14:paraId="28873889" w14:textId="0FA85475" w:rsidR="00C7637D" w:rsidRDefault="00E72B64" w:rsidP="00E72B64">
            <w:pPr>
              <w:pStyle w:val="Heading2"/>
              <w:outlineLvl w:val="1"/>
              <w:rPr>
                <w:lang w:val="en-US"/>
              </w:rPr>
            </w:pPr>
            <w:r>
              <w:rPr>
                <w:lang w:val="en-US"/>
              </w:rPr>
              <w:t>Public Limited</w:t>
            </w:r>
          </w:p>
        </w:tc>
      </w:tr>
      <w:tr w:rsidR="00C7637D" w14:paraId="35A29C09" w14:textId="77777777" w:rsidTr="00E72B64">
        <w:tc>
          <w:tcPr>
            <w:tcW w:w="4868" w:type="dxa"/>
          </w:tcPr>
          <w:p w14:paraId="5850114D" w14:textId="7B6465B9" w:rsidR="00C7637D" w:rsidRDefault="006A7012" w:rsidP="00C7637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6A7012">
              <w:rPr>
                <w:sz w:val="24"/>
                <w:szCs w:val="24"/>
                <w:lang w:val="en-US"/>
              </w:rPr>
              <w:t>A public limited company is a company whose documentation states that it is a public company</w:t>
            </w:r>
          </w:p>
        </w:tc>
        <w:tc>
          <w:tcPr>
            <w:tcW w:w="4148" w:type="dxa"/>
          </w:tcPr>
          <w:p w14:paraId="12B49AC8" w14:textId="2D84CC5F" w:rsidR="00C7637D" w:rsidRDefault="006A7012" w:rsidP="00C7637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6A7012">
              <w:rPr>
                <w:sz w:val="24"/>
                <w:szCs w:val="24"/>
                <w:lang w:val="en-US"/>
              </w:rPr>
              <w:t>All other limited companies are classed as private limited companies</w:t>
            </w:r>
          </w:p>
        </w:tc>
      </w:tr>
      <w:tr w:rsidR="00C7637D" w14:paraId="7F921C95" w14:textId="77777777" w:rsidTr="00E72B64">
        <w:tc>
          <w:tcPr>
            <w:tcW w:w="4868" w:type="dxa"/>
          </w:tcPr>
          <w:p w14:paraId="3A48D3A5" w14:textId="0EC23E27" w:rsidR="00C7637D" w:rsidRDefault="006A7012" w:rsidP="006A7012">
            <w:pPr>
              <w:rPr>
                <w:sz w:val="24"/>
                <w:szCs w:val="24"/>
                <w:lang w:val="en-US"/>
              </w:rPr>
            </w:pPr>
            <w:r w:rsidRPr="006A7012">
              <w:rPr>
                <w:sz w:val="24"/>
                <w:szCs w:val="24"/>
                <w:lang w:val="en-US"/>
              </w:rPr>
              <w:t>The name of a public limited company must end with the words ‘public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A7012">
              <w:rPr>
                <w:sz w:val="24"/>
                <w:szCs w:val="24"/>
                <w:lang w:val="en-US"/>
              </w:rPr>
              <w:t>limited company’</w:t>
            </w:r>
          </w:p>
        </w:tc>
        <w:tc>
          <w:tcPr>
            <w:tcW w:w="4148" w:type="dxa"/>
          </w:tcPr>
          <w:p w14:paraId="16EC3AA2" w14:textId="780181B4" w:rsidR="00C7637D" w:rsidRDefault="006A7012" w:rsidP="006A7012">
            <w:pPr>
              <w:rPr>
                <w:sz w:val="24"/>
                <w:szCs w:val="24"/>
                <w:lang w:val="en-US"/>
              </w:rPr>
            </w:pPr>
            <w:r w:rsidRPr="006A7012">
              <w:rPr>
                <w:sz w:val="24"/>
                <w:szCs w:val="24"/>
                <w:lang w:val="en-US"/>
              </w:rPr>
              <w:t>A private limited company’s name must en</w:t>
            </w:r>
            <w:r>
              <w:rPr>
                <w:sz w:val="24"/>
                <w:szCs w:val="24"/>
                <w:lang w:val="en-US"/>
              </w:rPr>
              <w:t xml:space="preserve">d </w:t>
            </w:r>
            <w:r w:rsidRPr="006A7012">
              <w:rPr>
                <w:sz w:val="24"/>
                <w:szCs w:val="24"/>
                <w:lang w:val="en-US"/>
              </w:rPr>
              <w:t>with the word ‘limited’</w:t>
            </w:r>
          </w:p>
        </w:tc>
      </w:tr>
      <w:tr w:rsidR="00C7637D" w14:paraId="5297F51C" w14:textId="77777777" w:rsidTr="00E72B64">
        <w:tc>
          <w:tcPr>
            <w:tcW w:w="4868" w:type="dxa"/>
          </w:tcPr>
          <w:p w14:paraId="235F8820" w14:textId="42E64FBD" w:rsidR="00C7637D" w:rsidRDefault="00D324AD" w:rsidP="00C7637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 is no minimum capital compulsion for private limited companies</w:t>
            </w:r>
          </w:p>
        </w:tc>
        <w:tc>
          <w:tcPr>
            <w:tcW w:w="4148" w:type="dxa"/>
          </w:tcPr>
          <w:p w14:paraId="22F6012E" w14:textId="412D4D12" w:rsidR="00C7637D" w:rsidRPr="006A7012" w:rsidRDefault="006A7012" w:rsidP="006A7012">
            <w:pPr>
              <w:rPr>
                <w:sz w:val="24"/>
                <w:szCs w:val="24"/>
                <w:lang w:val="en-US"/>
              </w:rPr>
            </w:pPr>
            <w:r w:rsidRPr="006A7012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public limited company shoul</w:t>
            </w:r>
            <w:r w:rsidR="00D324AD">
              <w:rPr>
                <w:sz w:val="24"/>
                <w:szCs w:val="24"/>
                <w:lang w:val="en-US"/>
              </w:rPr>
              <w:t xml:space="preserve">d have </w:t>
            </w:r>
            <w:proofErr w:type="gramStart"/>
            <w:r w:rsidR="00D324AD">
              <w:rPr>
                <w:sz w:val="24"/>
                <w:szCs w:val="24"/>
                <w:lang w:val="en-US"/>
              </w:rPr>
              <w:t>a</w:t>
            </w:r>
            <w:proofErr w:type="gramEnd"/>
            <w:r w:rsidRPr="006A7012">
              <w:rPr>
                <w:sz w:val="24"/>
                <w:szCs w:val="24"/>
                <w:lang w:val="en-US"/>
              </w:rPr>
              <w:t xml:space="preserve"> issued share capital of at least £50,000.</w:t>
            </w:r>
          </w:p>
        </w:tc>
      </w:tr>
      <w:tr w:rsidR="00D324AD" w14:paraId="7A82C356" w14:textId="77777777" w:rsidTr="00E72B64">
        <w:tc>
          <w:tcPr>
            <w:tcW w:w="4868" w:type="dxa"/>
          </w:tcPr>
          <w:p w14:paraId="37B14172" w14:textId="5B602618" w:rsidR="00D324AD" w:rsidRDefault="00D324AD" w:rsidP="00C7637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It can’t have </w:t>
            </w:r>
            <w:r w:rsidRPr="00D324AD">
              <w:rPr>
                <w:sz w:val="24"/>
                <w:szCs w:val="24"/>
                <w:lang w:val="en-US"/>
              </w:rPr>
              <w:t>full Stock Exchange listing</w:t>
            </w:r>
          </w:p>
        </w:tc>
        <w:tc>
          <w:tcPr>
            <w:tcW w:w="4148" w:type="dxa"/>
          </w:tcPr>
          <w:p w14:paraId="26287E51" w14:textId="0F50FF7C" w:rsidR="00D324AD" w:rsidRPr="006A7012" w:rsidRDefault="00D324AD" w:rsidP="006A70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It can have </w:t>
            </w:r>
            <w:r w:rsidRPr="00D324AD">
              <w:rPr>
                <w:sz w:val="24"/>
                <w:szCs w:val="24"/>
                <w:lang w:val="en-US"/>
              </w:rPr>
              <w:t>full Stock Exchange listing</w:t>
            </w:r>
          </w:p>
        </w:tc>
      </w:tr>
      <w:tr w:rsidR="00D324AD" w14:paraId="02F8BF50" w14:textId="77777777" w:rsidTr="00E72B64">
        <w:tc>
          <w:tcPr>
            <w:tcW w:w="4868" w:type="dxa"/>
          </w:tcPr>
          <w:p w14:paraId="346EB26E" w14:textId="6D44218C" w:rsidR="00D324AD" w:rsidRDefault="007630F3" w:rsidP="00D324A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t xml:space="preserve">It </w:t>
            </w:r>
            <w:r w:rsidR="00D324AD" w:rsidRPr="006651A1">
              <w:t>is not allowed to offer its shares to</w:t>
            </w:r>
            <w:r>
              <w:t xml:space="preserve"> the public</w:t>
            </w:r>
          </w:p>
        </w:tc>
        <w:tc>
          <w:tcPr>
            <w:tcW w:w="4148" w:type="dxa"/>
          </w:tcPr>
          <w:p w14:paraId="15C007D2" w14:textId="00348413" w:rsidR="00D324AD" w:rsidRDefault="007630F3" w:rsidP="00D324AD">
            <w:pPr>
              <w:rPr>
                <w:sz w:val="24"/>
                <w:szCs w:val="24"/>
                <w:lang w:val="en-US"/>
              </w:rPr>
            </w:pPr>
            <w:r>
              <w:t xml:space="preserve">It </w:t>
            </w:r>
            <w:r w:rsidR="00D324AD" w:rsidRPr="006651A1">
              <w:t>is allowed to offer its shares to</w:t>
            </w:r>
            <w:r>
              <w:t xml:space="preserve"> the public</w:t>
            </w:r>
          </w:p>
        </w:tc>
      </w:tr>
    </w:tbl>
    <w:p w14:paraId="71D86664" w14:textId="79BB8FCF" w:rsidR="00C7637D" w:rsidRDefault="00C7637D" w:rsidP="00C7637D">
      <w:pPr>
        <w:pStyle w:val="ListParagraph"/>
        <w:rPr>
          <w:sz w:val="24"/>
          <w:szCs w:val="24"/>
          <w:lang w:val="en-US"/>
        </w:rPr>
      </w:pPr>
    </w:p>
    <w:p w14:paraId="2B890046" w14:textId="68CFAB80" w:rsidR="007630F3" w:rsidRDefault="007630F3" w:rsidP="007630F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Pros of sole proprietorship:</w:t>
      </w:r>
    </w:p>
    <w:p w14:paraId="01F34550" w14:textId="3B2DE2A6" w:rsidR="007630F3" w:rsidRDefault="007371CD" w:rsidP="007371CD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Quick decision making</w:t>
      </w:r>
    </w:p>
    <w:p w14:paraId="6A5CD3D7" w14:textId="642CBB05" w:rsidR="007371CD" w:rsidRDefault="007371CD" w:rsidP="007371CD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Confidentiality of information</w:t>
      </w:r>
    </w:p>
    <w:p w14:paraId="230F96E5" w14:textId="75A74502" w:rsidR="007371CD" w:rsidRDefault="007371CD" w:rsidP="007371CD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Direct incentives</w:t>
      </w:r>
    </w:p>
    <w:p w14:paraId="6B0C7EAB" w14:textId="25AE7C96" w:rsidR="007371CD" w:rsidRDefault="007371CD" w:rsidP="007371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Cons of sole proprietorship: </w:t>
      </w:r>
    </w:p>
    <w:p w14:paraId="31EE56BE" w14:textId="4434D6D6" w:rsidR="00D80CCE" w:rsidRDefault="00D80CCE" w:rsidP="00D80CC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Limited resources</w:t>
      </w:r>
    </w:p>
    <w:p w14:paraId="3A22A503" w14:textId="46EECCDE" w:rsidR="00D80CCE" w:rsidRDefault="00D80CCE" w:rsidP="00D80CC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Limited life</w:t>
      </w:r>
    </w:p>
    <w:p w14:paraId="52363E28" w14:textId="672805FD" w:rsidR="00D80CCE" w:rsidRDefault="00D80CCE" w:rsidP="00D80CC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Unlimited liability</w:t>
      </w:r>
    </w:p>
    <w:p w14:paraId="09B86B4F" w14:textId="77777777" w:rsidR="0017291C" w:rsidRDefault="001A3747" w:rsidP="0017291C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7291C">
        <w:rPr>
          <w:sz w:val="24"/>
          <w:szCs w:val="24"/>
          <w:lang w:val="en-US"/>
        </w:rPr>
        <w:lastRenderedPageBreak/>
        <w:t xml:space="preserve">Bank </w:t>
      </w:r>
      <w:r w:rsidR="0017291C" w:rsidRPr="0017291C">
        <w:rPr>
          <w:sz w:val="24"/>
          <w:szCs w:val="24"/>
          <w:lang w:val="en-US"/>
        </w:rPr>
        <w:t>overdrafts:</w:t>
      </w:r>
      <w:r w:rsidRPr="0017291C">
        <w:rPr>
          <w:sz w:val="24"/>
          <w:szCs w:val="24"/>
          <w:lang w:val="en-US"/>
        </w:rPr>
        <w:t xml:space="preserve"> </w:t>
      </w:r>
      <w:r w:rsidRPr="0017291C">
        <w:rPr>
          <w:sz w:val="24"/>
          <w:szCs w:val="24"/>
          <w:lang w:val="en-US"/>
        </w:rPr>
        <w:t>An overdraft is a form of short-term borrowing from a bank where the borrower is granted a facility to draw money</w:t>
      </w:r>
      <w:r w:rsidRPr="0017291C">
        <w:rPr>
          <w:sz w:val="24"/>
          <w:szCs w:val="24"/>
          <w:lang w:val="en-US"/>
        </w:rPr>
        <w:t xml:space="preserve"> </w:t>
      </w:r>
      <w:r w:rsidRPr="0017291C">
        <w:rPr>
          <w:sz w:val="24"/>
          <w:szCs w:val="24"/>
          <w:lang w:val="en-US"/>
        </w:rPr>
        <w:t>out of a current account such that it becomes negative, down to an agreed limit. The borrower pays interest only on</w:t>
      </w:r>
      <w:r w:rsidR="0017291C">
        <w:rPr>
          <w:sz w:val="24"/>
          <w:szCs w:val="24"/>
          <w:lang w:val="en-US"/>
        </w:rPr>
        <w:t xml:space="preserve"> </w:t>
      </w:r>
      <w:r w:rsidRPr="0017291C">
        <w:rPr>
          <w:sz w:val="24"/>
          <w:szCs w:val="24"/>
          <w:lang w:val="en-US"/>
        </w:rPr>
        <w:t>the amount by which they are actually overdrawn.</w:t>
      </w:r>
    </w:p>
    <w:p w14:paraId="71068159" w14:textId="79C9A6C1" w:rsidR="0017291C" w:rsidRPr="0017291C" w:rsidRDefault="0017291C" w:rsidP="0017291C">
      <w:pPr>
        <w:pStyle w:val="ListParagraph"/>
        <w:ind w:left="644"/>
        <w:rPr>
          <w:sz w:val="24"/>
          <w:szCs w:val="24"/>
          <w:lang w:val="en-US"/>
        </w:rPr>
      </w:pPr>
      <w:r w:rsidRPr="0017291C">
        <w:t xml:space="preserve"> </w:t>
      </w:r>
      <w:r w:rsidRPr="0017291C">
        <w:rPr>
          <w:sz w:val="24"/>
          <w:szCs w:val="24"/>
          <w:lang w:val="en-US"/>
        </w:rPr>
        <w:t xml:space="preserve">Trade </w:t>
      </w:r>
      <w:r w:rsidRPr="0017291C">
        <w:rPr>
          <w:sz w:val="24"/>
          <w:szCs w:val="24"/>
          <w:lang w:val="en-US"/>
        </w:rPr>
        <w:t>credit</w:t>
      </w:r>
      <w:r>
        <w:rPr>
          <w:sz w:val="24"/>
          <w:szCs w:val="24"/>
          <w:lang w:val="en-US"/>
        </w:rPr>
        <w:t>:</w:t>
      </w:r>
      <w:r w:rsidRPr="0017291C">
        <w:rPr>
          <w:sz w:val="24"/>
          <w:szCs w:val="24"/>
          <w:lang w:val="en-US"/>
        </w:rPr>
        <w:t xml:space="preserve"> Trade</w:t>
      </w:r>
      <w:r w:rsidRPr="0017291C">
        <w:rPr>
          <w:sz w:val="24"/>
          <w:szCs w:val="24"/>
          <w:lang w:val="en-US"/>
        </w:rPr>
        <w:t xml:space="preserve"> credit is an agreement between a company and one of its suppliers to pay for goods or services after they have</w:t>
      </w:r>
    </w:p>
    <w:p w14:paraId="057A9CC5" w14:textId="480F41CF" w:rsidR="00D80CCE" w:rsidRDefault="0017291C" w:rsidP="0017291C">
      <w:pPr>
        <w:pStyle w:val="ListParagraph"/>
        <w:ind w:left="644"/>
        <w:rPr>
          <w:sz w:val="24"/>
          <w:szCs w:val="24"/>
          <w:lang w:val="en-US"/>
        </w:rPr>
      </w:pPr>
      <w:r w:rsidRPr="0017291C">
        <w:rPr>
          <w:sz w:val="24"/>
          <w:szCs w:val="24"/>
          <w:lang w:val="en-US"/>
        </w:rPr>
        <w:t>been supplied.</w:t>
      </w:r>
    </w:p>
    <w:p w14:paraId="10468BDA" w14:textId="77777777" w:rsidR="0017291C" w:rsidRDefault="0017291C" w:rsidP="0017291C">
      <w:pPr>
        <w:pStyle w:val="ListParagraph"/>
        <w:ind w:left="644"/>
        <w:rPr>
          <w:sz w:val="24"/>
          <w:szCs w:val="24"/>
          <w:lang w:val="en-US"/>
        </w:rPr>
      </w:pPr>
      <w:r w:rsidRPr="0017291C">
        <w:rPr>
          <w:sz w:val="24"/>
          <w:szCs w:val="24"/>
          <w:lang w:val="en-US"/>
        </w:rPr>
        <w:t>Factoring</w:t>
      </w:r>
      <w:r>
        <w:rPr>
          <w:sz w:val="24"/>
          <w:szCs w:val="24"/>
          <w:lang w:val="en-US"/>
        </w:rPr>
        <w:t>:</w:t>
      </w:r>
      <w:r w:rsidRPr="0017291C">
        <w:t xml:space="preserve"> </w:t>
      </w:r>
      <w:r w:rsidRPr="0017291C">
        <w:rPr>
          <w:sz w:val="24"/>
          <w:szCs w:val="24"/>
          <w:lang w:val="en-US"/>
        </w:rPr>
        <w:t>Non-recourse factoring is where the supplier sells on its trade debts to a factor in order to obtain cash payment of</w:t>
      </w:r>
      <w:r>
        <w:rPr>
          <w:sz w:val="24"/>
          <w:szCs w:val="24"/>
          <w:lang w:val="en-US"/>
        </w:rPr>
        <w:t xml:space="preserve"> </w:t>
      </w:r>
      <w:r w:rsidRPr="0017291C">
        <w:rPr>
          <w:sz w:val="24"/>
          <w:szCs w:val="24"/>
          <w:lang w:val="en-US"/>
        </w:rPr>
        <w:t>the accounts before their actual due date.</w:t>
      </w:r>
      <w:r w:rsidRPr="0017291C">
        <w:t xml:space="preserve"> </w:t>
      </w:r>
      <w:r w:rsidRPr="0017291C">
        <w:rPr>
          <w:sz w:val="24"/>
          <w:szCs w:val="24"/>
          <w:lang w:val="en-US"/>
        </w:rPr>
        <w:t>Recourse factoring only provides early payment of invoices. It is a loan which is secured against the invoices, and</w:t>
      </w:r>
      <w:r>
        <w:rPr>
          <w:sz w:val="24"/>
          <w:szCs w:val="24"/>
          <w:lang w:val="en-US"/>
        </w:rPr>
        <w:t xml:space="preserve"> </w:t>
      </w:r>
      <w:r w:rsidRPr="0017291C">
        <w:rPr>
          <w:sz w:val="24"/>
          <w:szCs w:val="24"/>
          <w:lang w:val="en-US"/>
        </w:rPr>
        <w:t>has a value which automatically fluctuates with the amount that the company sells.</w:t>
      </w:r>
    </w:p>
    <w:p w14:paraId="0C5C7A3E" w14:textId="18FC6FDD" w:rsidR="0017291C" w:rsidRDefault="0017291C" w:rsidP="0017291C">
      <w:pPr>
        <w:pStyle w:val="ListParagraph"/>
        <w:ind w:left="644"/>
        <w:rPr>
          <w:sz w:val="24"/>
          <w:szCs w:val="24"/>
          <w:lang w:val="en-US"/>
        </w:rPr>
      </w:pPr>
      <w:r w:rsidRPr="0017291C">
        <w:t xml:space="preserve"> </w:t>
      </w:r>
      <w:r w:rsidRPr="0017291C">
        <w:rPr>
          <w:sz w:val="24"/>
          <w:szCs w:val="24"/>
          <w:lang w:val="en-US"/>
        </w:rPr>
        <w:t>A bill of exchange is effectively a claim to the amount owed by a purchaser of goods on credit and may be</w:t>
      </w:r>
      <w:r>
        <w:rPr>
          <w:sz w:val="24"/>
          <w:szCs w:val="24"/>
          <w:lang w:val="en-US"/>
        </w:rPr>
        <w:t xml:space="preserve"> </w:t>
      </w:r>
      <w:r w:rsidRPr="0017291C">
        <w:rPr>
          <w:sz w:val="24"/>
          <w:szCs w:val="24"/>
          <w:lang w:val="en-US"/>
        </w:rPr>
        <w:t>accepted by a bank</w:t>
      </w:r>
    </w:p>
    <w:p w14:paraId="275C27E9" w14:textId="520B1E92" w:rsidR="0017291C" w:rsidRDefault="0017291C" w:rsidP="0017291C">
      <w:pPr>
        <w:pStyle w:val="ListParagraph"/>
        <w:ind w:left="644"/>
        <w:rPr>
          <w:sz w:val="24"/>
          <w:szCs w:val="24"/>
          <w:lang w:val="en-US"/>
        </w:rPr>
      </w:pPr>
      <w:r w:rsidRPr="0017291C">
        <w:rPr>
          <w:sz w:val="24"/>
          <w:szCs w:val="24"/>
          <w:lang w:val="en-US"/>
        </w:rPr>
        <w:t>Commercial paper is a single name form of short-term borrowing used by large companies. It comes in the form of</w:t>
      </w:r>
      <w:r>
        <w:rPr>
          <w:sz w:val="24"/>
          <w:szCs w:val="24"/>
          <w:lang w:val="en-US"/>
        </w:rPr>
        <w:t xml:space="preserve"> </w:t>
      </w:r>
      <w:r w:rsidRPr="0017291C">
        <w:rPr>
          <w:sz w:val="24"/>
          <w:szCs w:val="24"/>
          <w:lang w:val="en-US"/>
        </w:rPr>
        <w:t>bearer documents for large denominations which are issued at a discount and redeemed at par.</w:t>
      </w:r>
    </w:p>
    <w:p w14:paraId="0FA09BF0" w14:textId="4AF7AB8A" w:rsidR="0017291C" w:rsidRDefault="0017291C" w:rsidP="0017291C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5F4766">
        <w:rPr>
          <w:sz w:val="24"/>
          <w:szCs w:val="24"/>
          <w:lang w:val="en-US"/>
        </w:rPr>
        <w:t>A lease is an agreement where the owner of an asset gives the lessee the right to use the asset over a period, in</w:t>
      </w:r>
      <w:r w:rsidRPr="005F4766">
        <w:rPr>
          <w:sz w:val="24"/>
          <w:szCs w:val="24"/>
          <w:lang w:val="en-US"/>
        </w:rPr>
        <w:t xml:space="preserve"> </w:t>
      </w:r>
      <w:r w:rsidRPr="005F4766">
        <w:rPr>
          <w:sz w:val="24"/>
          <w:szCs w:val="24"/>
          <w:lang w:val="en-US"/>
        </w:rPr>
        <w:t xml:space="preserve">return for a regular series of payments. Legal ownership does not change hands. There are two types of </w:t>
      </w:r>
      <w:r w:rsidRPr="005F4766">
        <w:rPr>
          <w:sz w:val="24"/>
          <w:szCs w:val="24"/>
          <w:lang w:val="en-US"/>
        </w:rPr>
        <w:t>leases: operating</w:t>
      </w:r>
      <w:r w:rsidRPr="005F4766">
        <w:rPr>
          <w:sz w:val="24"/>
          <w:szCs w:val="24"/>
          <w:lang w:val="en-US"/>
        </w:rPr>
        <w:t xml:space="preserve"> leases and finance </w:t>
      </w:r>
      <w:r w:rsidRPr="005F4766">
        <w:rPr>
          <w:sz w:val="24"/>
          <w:szCs w:val="24"/>
          <w:lang w:val="en-US"/>
        </w:rPr>
        <w:t>leases. Under</w:t>
      </w:r>
      <w:r w:rsidRPr="005F4766">
        <w:rPr>
          <w:sz w:val="24"/>
          <w:szCs w:val="24"/>
          <w:lang w:val="en-US"/>
        </w:rPr>
        <w:t xml:space="preserve"> an operating lease, the owner of the asset will retain most of the risks associated with owning the asset. The</w:t>
      </w:r>
      <w:r w:rsidR="005F4766" w:rsidRPr="005F4766">
        <w:rPr>
          <w:sz w:val="24"/>
          <w:szCs w:val="24"/>
          <w:lang w:val="en-US"/>
        </w:rPr>
        <w:t xml:space="preserve"> </w:t>
      </w:r>
      <w:r w:rsidRPr="005F4766">
        <w:rPr>
          <w:sz w:val="24"/>
          <w:szCs w:val="24"/>
          <w:lang w:val="en-US"/>
        </w:rPr>
        <w:t>lease will be for a period substantially shorter than the likely life of the asset.</w:t>
      </w:r>
      <w:r w:rsidR="005F4766" w:rsidRPr="005F4766">
        <w:rPr>
          <w:sz w:val="24"/>
          <w:szCs w:val="24"/>
          <w:lang w:val="en-US"/>
        </w:rPr>
        <w:t xml:space="preserve"> </w:t>
      </w:r>
      <w:r w:rsidRPr="005F4766">
        <w:rPr>
          <w:sz w:val="24"/>
          <w:szCs w:val="24"/>
          <w:lang w:val="en-US"/>
        </w:rPr>
        <w:t>Under a finance lease, the lessee takes on most of the risks associated with owning the asset. The lease will be for a</w:t>
      </w:r>
      <w:r w:rsidR="005F4766" w:rsidRPr="005F4766">
        <w:rPr>
          <w:sz w:val="24"/>
          <w:szCs w:val="24"/>
          <w:lang w:val="en-US"/>
        </w:rPr>
        <w:t xml:space="preserve"> </w:t>
      </w:r>
      <w:r w:rsidRPr="005F4766">
        <w:rPr>
          <w:sz w:val="24"/>
          <w:szCs w:val="24"/>
          <w:lang w:val="en-US"/>
        </w:rPr>
        <w:t>period similar to the likely life of the asset. The present value of the payments under the agreement is shown in the</w:t>
      </w:r>
      <w:r w:rsidR="005F4766" w:rsidRPr="005F4766">
        <w:rPr>
          <w:sz w:val="24"/>
          <w:szCs w:val="24"/>
          <w:lang w:val="en-US"/>
        </w:rPr>
        <w:t xml:space="preserve"> </w:t>
      </w:r>
      <w:r w:rsidRPr="005F4766">
        <w:rPr>
          <w:sz w:val="24"/>
          <w:szCs w:val="24"/>
          <w:lang w:val="en-US"/>
        </w:rPr>
        <w:t>lessee’s balance sheet twice: as an asset and as a corresponding liability.</w:t>
      </w:r>
    </w:p>
    <w:p w14:paraId="1A7CAE78" w14:textId="6A884DB2" w:rsidR="005F4766" w:rsidRDefault="004E3911" w:rsidP="005F476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I.</w:t>
      </w:r>
      <w:r w:rsidRPr="005F4766">
        <w:rPr>
          <w:sz w:val="24"/>
          <w:szCs w:val="24"/>
          <w:lang w:val="en-US"/>
        </w:rPr>
        <w:t xml:space="preserve"> Convertible</w:t>
      </w:r>
      <w:r w:rsidR="005F4766" w:rsidRPr="005F4766">
        <w:rPr>
          <w:sz w:val="24"/>
          <w:szCs w:val="24"/>
          <w:lang w:val="en-US"/>
        </w:rPr>
        <w:t xml:space="preserve"> forms of company securities are, almost invariably, unsecured loan stocks or preference shares that</w:t>
      </w:r>
      <w:r w:rsidR="005F4766">
        <w:rPr>
          <w:sz w:val="24"/>
          <w:szCs w:val="24"/>
          <w:lang w:val="en-US"/>
        </w:rPr>
        <w:t xml:space="preserve"> </w:t>
      </w:r>
      <w:r w:rsidR="005F4766" w:rsidRPr="005F4766">
        <w:rPr>
          <w:sz w:val="24"/>
          <w:szCs w:val="24"/>
          <w:lang w:val="en-US"/>
        </w:rPr>
        <w:t>convert into ordinary shares of the issuing company.</w:t>
      </w:r>
    </w:p>
    <w:p w14:paraId="6553A35E" w14:textId="77777777" w:rsidR="00D5165F" w:rsidRDefault="00D5165F" w:rsidP="00D5165F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Pr="00D5165F">
        <w:rPr>
          <w:sz w:val="24"/>
          <w:szCs w:val="24"/>
          <w:lang w:val="en-US"/>
        </w:rPr>
        <w:t>II.</w:t>
      </w:r>
      <w:r w:rsidRPr="00D5165F">
        <w:t xml:space="preserve"> </w:t>
      </w:r>
      <w:r w:rsidRPr="00D5165F">
        <w:rPr>
          <w:sz w:val="24"/>
          <w:szCs w:val="24"/>
          <w:lang w:val="en-US"/>
        </w:rPr>
        <w:t xml:space="preserve">A stock warrant represents the right to purchase a company's stock at a specific </w:t>
      </w:r>
      <w:r>
        <w:rPr>
          <w:sz w:val="24"/>
          <w:szCs w:val="24"/>
          <w:lang w:val="en-US"/>
        </w:rPr>
        <w:t xml:space="preserve">     p</w:t>
      </w:r>
      <w:r w:rsidRPr="00D5165F">
        <w:rPr>
          <w:sz w:val="24"/>
          <w:szCs w:val="24"/>
          <w:lang w:val="en-US"/>
        </w:rPr>
        <w:t>rice and at a specific date.</w:t>
      </w:r>
      <w:r>
        <w:rPr>
          <w:sz w:val="24"/>
          <w:szCs w:val="24"/>
          <w:lang w:val="en-US"/>
        </w:rPr>
        <w:t xml:space="preserve"> </w:t>
      </w:r>
    </w:p>
    <w:p w14:paraId="04E1AC58" w14:textId="165AC5C5" w:rsidR="007E09A2" w:rsidRPr="00D5165F" w:rsidRDefault="00D5165F" w:rsidP="00D5165F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 w:rsidR="004E3911" w:rsidRPr="00D5165F">
        <w:rPr>
          <w:sz w:val="24"/>
          <w:szCs w:val="24"/>
          <w:lang w:val="en-US"/>
        </w:rPr>
        <w:t>III. A convertible</w:t>
      </w:r>
      <w:r w:rsidR="004E3911" w:rsidRPr="00D5165F">
        <w:rPr>
          <w:sz w:val="24"/>
          <w:szCs w:val="24"/>
          <w:lang w:val="en-US"/>
        </w:rPr>
        <w:t xml:space="preserve"> must normally trade at a price higher than equity stock</w:t>
      </w:r>
      <w:r w:rsidR="004E3911" w:rsidRPr="00D5165F">
        <w:rPr>
          <w:sz w:val="24"/>
          <w:szCs w:val="24"/>
          <w:lang w:val="en-US"/>
        </w:rPr>
        <w:t xml:space="preserve"> as it </w:t>
      </w:r>
      <w:r w:rsidR="007E09A2" w:rsidRPr="00D5165F">
        <w:rPr>
          <w:sz w:val="24"/>
          <w:szCs w:val="24"/>
          <w:lang w:val="en-US"/>
        </w:rPr>
        <w:t xml:space="preserve">gives the </w:t>
      </w:r>
      <w:r>
        <w:rPr>
          <w:sz w:val="24"/>
          <w:szCs w:val="24"/>
          <w:lang w:val="en-US"/>
        </w:rPr>
        <w:t xml:space="preserve">  </w:t>
      </w:r>
      <w:r w:rsidR="007E09A2" w:rsidRPr="00D5165F">
        <w:rPr>
          <w:sz w:val="24"/>
          <w:szCs w:val="24"/>
          <w:lang w:val="en-US"/>
        </w:rPr>
        <w:t xml:space="preserve">investor the option of keeping the convertibles in the form of loans or convert it into and </w:t>
      </w:r>
      <w:r>
        <w:rPr>
          <w:sz w:val="24"/>
          <w:szCs w:val="24"/>
          <w:lang w:val="en-US"/>
        </w:rPr>
        <w:t xml:space="preserve">   </w:t>
      </w:r>
      <w:r w:rsidR="007E09A2" w:rsidRPr="00D5165F">
        <w:rPr>
          <w:sz w:val="24"/>
          <w:szCs w:val="24"/>
          <w:lang w:val="en-US"/>
        </w:rPr>
        <w:t>equity share. Also, to avoid dilution in the stock holders.</w:t>
      </w:r>
    </w:p>
    <w:p w14:paraId="57C0D60D" w14:textId="53AB37CB" w:rsidR="007E09A2" w:rsidRPr="007E09A2" w:rsidRDefault="00D5165F" w:rsidP="00D5165F">
      <w:pPr>
        <w:pStyle w:val="ListParagraph"/>
        <w:ind w:left="64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IV. For an investor, </w:t>
      </w:r>
      <w:r w:rsidRPr="00D5165F">
        <w:rPr>
          <w:sz w:val="24"/>
          <w:szCs w:val="24"/>
          <w:lang w:val="en-US"/>
        </w:rPr>
        <w:t>convertible</w:t>
      </w:r>
      <w:r w:rsidRPr="00D5165F">
        <w:rPr>
          <w:sz w:val="24"/>
          <w:szCs w:val="24"/>
          <w:lang w:val="en-US"/>
        </w:rPr>
        <w:t xml:space="preserve"> securities offer the opportunity to combine the lower risk of a debt</w:t>
      </w:r>
      <w:r>
        <w:rPr>
          <w:sz w:val="24"/>
          <w:szCs w:val="24"/>
          <w:lang w:val="en-US"/>
        </w:rPr>
        <w:t xml:space="preserve"> </w:t>
      </w:r>
      <w:r w:rsidRPr="00D5165F">
        <w:rPr>
          <w:sz w:val="24"/>
          <w:szCs w:val="24"/>
          <w:lang w:val="en-US"/>
        </w:rPr>
        <w:t>security with the potential for large gains of an equity. The price paid for this is a lower running yield than on a</w:t>
      </w:r>
      <w:r>
        <w:rPr>
          <w:sz w:val="24"/>
          <w:szCs w:val="24"/>
          <w:lang w:val="en-US"/>
        </w:rPr>
        <w:t xml:space="preserve"> </w:t>
      </w:r>
      <w:r w:rsidRPr="00D5165F">
        <w:rPr>
          <w:sz w:val="24"/>
          <w:szCs w:val="24"/>
          <w:lang w:val="en-US"/>
        </w:rPr>
        <w:t>normal loan stock or preference share.</w:t>
      </w:r>
    </w:p>
    <w:sectPr w:rsidR="007E09A2" w:rsidRPr="007E0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176"/>
    <w:multiLevelType w:val="hybridMultilevel"/>
    <w:tmpl w:val="299E0F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C52"/>
    <w:multiLevelType w:val="hybridMultilevel"/>
    <w:tmpl w:val="8DFA5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DC5"/>
    <w:multiLevelType w:val="multilevel"/>
    <w:tmpl w:val="DCD4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422162"/>
    <w:multiLevelType w:val="hybridMultilevel"/>
    <w:tmpl w:val="D71036D2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637B81"/>
    <w:multiLevelType w:val="hybridMultilevel"/>
    <w:tmpl w:val="B65EE4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7D2D"/>
    <w:multiLevelType w:val="hybridMultilevel"/>
    <w:tmpl w:val="F1A6F7C4"/>
    <w:lvl w:ilvl="0" w:tplc="40090001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6" w15:restartNumberingAfterBreak="0">
    <w:nsid w:val="68246EB8"/>
    <w:multiLevelType w:val="hybridMultilevel"/>
    <w:tmpl w:val="BA3E506A"/>
    <w:lvl w:ilvl="0" w:tplc="40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7" w15:restartNumberingAfterBreak="0">
    <w:nsid w:val="7E9A29CE"/>
    <w:multiLevelType w:val="hybridMultilevel"/>
    <w:tmpl w:val="DD6AEB60"/>
    <w:lvl w:ilvl="0" w:tplc="4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76"/>
    <w:rsid w:val="000040DA"/>
    <w:rsid w:val="000D0B9F"/>
    <w:rsid w:val="000D6CD0"/>
    <w:rsid w:val="0017291C"/>
    <w:rsid w:val="001A3747"/>
    <w:rsid w:val="00227FE9"/>
    <w:rsid w:val="003D59FF"/>
    <w:rsid w:val="004E3911"/>
    <w:rsid w:val="00577376"/>
    <w:rsid w:val="005F4766"/>
    <w:rsid w:val="00672ED0"/>
    <w:rsid w:val="006A7012"/>
    <w:rsid w:val="006D1FC2"/>
    <w:rsid w:val="007371CD"/>
    <w:rsid w:val="007630F3"/>
    <w:rsid w:val="007E09A2"/>
    <w:rsid w:val="008A796E"/>
    <w:rsid w:val="00A132B6"/>
    <w:rsid w:val="00A93F98"/>
    <w:rsid w:val="00BE79D8"/>
    <w:rsid w:val="00C7637D"/>
    <w:rsid w:val="00D324AD"/>
    <w:rsid w:val="00D5165F"/>
    <w:rsid w:val="00D80CCE"/>
    <w:rsid w:val="00E72B64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932B"/>
  <w15:chartTrackingRefBased/>
  <w15:docId w15:val="{B9DD8255-B74A-4076-A068-7F2DDC73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B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376"/>
    <w:pPr>
      <w:ind w:left="720"/>
      <w:contextualSpacing/>
    </w:pPr>
  </w:style>
  <w:style w:type="table" w:styleId="TableGrid">
    <w:name w:val="Table Grid"/>
    <w:basedOn w:val="TableNormal"/>
    <w:uiPriority w:val="39"/>
    <w:rsid w:val="008A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D0B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D0B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Khushi Shinde</dc:creator>
  <cp:keywords/>
  <dc:description/>
  <cp:lastModifiedBy>Khushi Shinde</cp:lastModifiedBy>
  <cp:revision>3</cp:revision>
  <dcterms:created xsi:type="dcterms:W3CDTF">2021-12-04T13:34:00Z</dcterms:created>
  <dcterms:modified xsi:type="dcterms:W3CDTF">2021-12-05T18:08:00Z</dcterms:modified>
</cp:coreProperties>
</file>