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CAFC" w14:textId="4D615969" w:rsidR="00714147" w:rsidRDefault="00714147" w:rsidP="00714147">
      <w:pPr>
        <w:jc w:val="center"/>
        <w:rPr>
          <w:rFonts w:ascii="Algerian" w:hAnsi="Algerian"/>
          <w:b/>
          <w:bCs/>
          <w:i/>
          <w:iCs/>
          <w:sz w:val="44"/>
          <w:szCs w:val="44"/>
          <w:u w:val="single"/>
          <w:lang w:val="en-US"/>
        </w:rPr>
      </w:pPr>
      <w:r w:rsidRPr="004F4B4E">
        <w:rPr>
          <w:rFonts w:ascii="Algerian" w:hAnsi="Algerian"/>
          <w:b/>
          <w:bCs/>
          <w:i/>
          <w:iCs/>
          <w:sz w:val="44"/>
          <w:szCs w:val="44"/>
          <w:u w:val="single"/>
          <w:lang w:val="en-US"/>
        </w:rPr>
        <w:t>BUSINESS FINANCE</w:t>
      </w:r>
    </w:p>
    <w:p w14:paraId="2AAFFE77" w14:textId="77777777" w:rsidR="004F4B4E" w:rsidRPr="004F4B4E" w:rsidRDefault="004F4B4E" w:rsidP="00714147">
      <w:pPr>
        <w:jc w:val="center"/>
        <w:rPr>
          <w:rFonts w:ascii="Algerian" w:hAnsi="Algerian"/>
          <w:b/>
          <w:bCs/>
          <w:i/>
          <w:iCs/>
          <w:sz w:val="44"/>
          <w:szCs w:val="44"/>
          <w:u w:val="single"/>
          <w:lang w:val="en-US"/>
        </w:rPr>
      </w:pPr>
    </w:p>
    <w:p w14:paraId="321A5109" w14:textId="16F4F6D4" w:rsidR="00D74163" w:rsidRPr="004F4B4E" w:rsidRDefault="00D74163" w:rsidP="00D74163">
      <w:pPr>
        <w:pStyle w:val="ListParagraph"/>
        <w:numPr>
          <w:ilvl w:val="0"/>
          <w:numId w:val="1"/>
        </w:numPr>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Liquidity preference refers to the preference of investors to hold liquid assets rather than securities or </w:t>
      </w:r>
      <w:r w:rsidR="00867B9D" w:rsidRPr="004F4B4E">
        <w:rPr>
          <w:rFonts w:ascii="Bahnschrift SemiCondensed" w:hAnsi="Bahnschrift SemiCondensed"/>
          <w:sz w:val="24"/>
          <w:szCs w:val="24"/>
          <w:lang w:val="en-US"/>
        </w:rPr>
        <w:t>long-term interest-bearing</w:t>
      </w:r>
      <w:r w:rsidRPr="004F4B4E">
        <w:rPr>
          <w:rFonts w:ascii="Bahnschrift SemiCondensed" w:hAnsi="Bahnschrift SemiCondensed"/>
          <w:sz w:val="24"/>
          <w:szCs w:val="24"/>
          <w:lang w:val="en-US"/>
        </w:rPr>
        <w:t xml:space="preserve"> </w:t>
      </w:r>
      <w:r w:rsidR="00273F30" w:rsidRPr="004F4B4E">
        <w:rPr>
          <w:rFonts w:ascii="Bahnschrift SemiCondensed" w:hAnsi="Bahnschrift SemiCondensed"/>
          <w:sz w:val="24"/>
          <w:szCs w:val="24"/>
          <w:lang w:val="en-US"/>
        </w:rPr>
        <w:t>in</w:t>
      </w:r>
      <w:r w:rsidR="00BC64E1" w:rsidRPr="004F4B4E">
        <w:rPr>
          <w:rFonts w:ascii="Bahnschrift SemiCondensed" w:hAnsi="Bahnschrift SemiCondensed"/>
          <w:sz w:val="24"/>
          <w:szCs w:val="24"/>
          <w:lang w:val="en-US"/>
        </w:rPr>
        <w:t>v</w:t>
      </w:r>
      <w:r w:rsidR="00273F30" w:rsidRPr="004F4B4E">
        <w:rPr>
          <w:rFonts w:ascii="Bahnschrift SemiCondensed" w:hAnsi="Bahnschrift SemiCondensed"/>
          <w:sz w:val="24"/>
          <w:szCs w:val="24"/>
          <w:lang w:val="en-US"/>
        </w:rPr>
        <w:t>estments.</w:t>
      </w:r>
    </w:p>
    <w:p w14:paraId="39D597BF" w14:textId="694CEB87" w:rsidR="00273F30" w:rsidRPr="004F4B4E" w:rsidRDefault="00867B9D" w:rsidP="00273F30">
      <w:pPr>
        <w:pStyle w:val="ListParagraph"/>
        <w:rPr>
          <w:rFonts w:ascii="Bahnschrift SemiCondensed" w:hAnsi="Bahnschrift SemiCondensed"/>
          <w:sz w:val="24"/>
          <w:szCs w:val="24"/>
          <w:lang w:val="en-US"/>
        </w:rPr>
      </w:pPr>
      <w:r w:rsidRPr="004F4B4E">
        <w:rPr>
          <w:rFonts w:ascii="Bahnschrift SemiCondensed" w:hAnsi="Bahnschrift SemiCondensed"/>
          <w:sz w:val="24"/>
          <w:szCs w:val="24"/>
          <w:lang w:val="en-US"/>
        </w:rPr>
        <w:t>E.g.</w:t>
      </w:r>
      <w:r w:rsidR="00273F30" w:rsidRPr="004F4B4E">
        <w:rPr>
          <w:rFonts w:ascii="Bahnschrift SemiCondensed" w:hAnsi="Bahnschrift SemiCondensed"/>
          <w:sz w:val="24"/>
          <w:szCs w:val="24"/>
          <w:lang w:val="en-US"/>
        </w:rPr>
        <w:t xml:space="preserve"> Investors often tend to demand a higher interest rate or premium oon securities with long term maturities that carry greater risk; investors prefer cash or other highly liquid holdings.</w:t>
      </w:r>
    </w:p>
    <w:p w14:paraId="78B11C6F" w14:textId="3D9CC8D5" w:rsidR="00273F30" w:rsidRPr="004F4B4E" w:rsidRDefault="00273F30" w:rsidP="00273F30">
      <w:pPr>
        <w:pStyle w:val="ListParagraph"/>
        <w:rPr>
          <w:rFonts w:ascii="Bahnschrift SemiCondensed" w:hAnsi="Bahnschrift SemiCondensed"/>
          <w:sz w:val="24"/>
          <w:szCs w:val="24"/>
          <w:lang w:val="en-US"/>
        </w:rPr>
      </w:pPr>
    </w:p>
    <w:p w14:paraId="3C438ED3" w14:textId="77777777" w:rsidR="00867B9D" w:rsidRPr="004F4B4E" w:rsidRDefault="00867B9D" w:rsidP="00867B9D">
      <w:pPr>
        <w:pStyle w:val="ListParagraph"/>
        <w:ind w:left="1440"/>
        <w:rPr>
          <w:rFonts w:ascii="Bahnschrift SemiCondensed" w:hAnsi="Bahnschrift SemiCondensed"/>
          <w:sz w:val="24"/>
          <w:szCs w:val="24"/>
          <w:lang w:val="en-US"/>
        </w:rPr>
      </w:pPr>
    </w:p>
    <w:p w14:paraId="39EF61DB" w14:textId="77777777" w:rsidR="0030541F" w:rsidRPr="004F4B4E" w:rsidRDefault="00867B9D" w:rsidP="00867B9D">
      <w:pPr>
        <w:pStyle w:val="ListParagraph"/>
        <w:numPr>
          <w:ilvl w:val="0"/>
          <w:numId w:val="1"/>
        </w:numPr>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Different types of business entities are: </w:t>
      </w:r>
      <w:r w:rsidR="0030541F" w:rsidRPr="004F4B4E">
        <w:rPr>
          <w:rFonts w:ascii="Bahnschrift SemiCondensed" w:hAnsi="Bahnschrift SemiCondensed"/>
          <w:sz w:val="24"/>
          <w:szCs w:val="24"/>
          <w:lang w:val="en-US"/>
        </w:rPr>
        <w:t>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534"/>
        <w:gridCol w:w="1844"/>
        <w:gridCol w:w="1645"/>
        <w:gridCol w:w="1627"/>
        <w:gridCol w:w="1646"/>
      </w:tblGrid>
      <w:tr w:rsidR="00F86527" w:rsidRPr="004F4B4E" w14:paraId="6045994E" w14:textId="77777777" w:rsidTr="0030541F">
        <w:tc>
          <w:tcPr>
            <w:tcW w:w="1803" w:type="dxa"/>
          </w:tcPr>
          <w:p w14:paraId="63777808" w14:textId="77777777" w:rsidR="0030541F" w:rsidRPr="004F4B4E" w:rsidRDefault="0030541F" w:rsidP="0030541F">
            <w:pPr>
              <w:pStyle w:val="ListParagraph"/>
              <w:ind w:left="0"/>
              <w:rPr>
                <w:rFonts w:ascii="Bahnschrift SemiCondensed" w:hAnsi="Bahnschrift SemiCondensed"/>
                <w:sz w:val="24"/>
                <w:szCs w:val="24"/>
                <w:lang w:val="en-US"/>
              </w:rPr>
            </w:pPr>
          </w:p>
        </w:tc>
        <w:tc>
          <w:tcPr>
            <w:tcW w:w="1803" w:type="dxa"/>
          </w:tcPr>
          <w:p w14:paraId="7944C6C2" w14:textId="26CDF8FA" w:rsidR="0030541F" w:rsidRPr="004F4B4E" w:rsidRDefault="0030541F"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SOLE PROPRIETORSHIP</w:t>
            </w:r>
          </w:p>
        </w:tc>
        <w:tc>
          <w:tcPr>
            <w:tcW w:w="1803" w:type="dxa"/>
          </w:tcPr>
          <w:p w14:paraId="5E8A0A58" w14:textId="4669CD70" w:rsidR="0030541F" w:rsidRPr="004F4B4E" w:rsidRDefault="0030541F"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PARTNERSHIP </w:t>
            </w:r>
          </w:p>
        </w:tc>
        <w:tc>
          <w:tcPr>
            <w:tcW w:w="1803" w:type="dxa"/>
          </w:tcPr>
          <w:p w14:paraId="70BBB432" w14:textId="6C0835F4" w:rsidR="0030541F" w:rsidRPr="004F4B4E" w:rsidRDefault="0030541F"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LIMITED COMPANIES</w:t>
            </w:r>
          </w:p>
        </w:tc>
        <w:tc>
          <w:tcPr>
            <w:tcW w:w="1804" w:type="dxa"/>
          </w:tcPr>
          <w:p w14:paraId="6BFCE762" w14:textId="53336127" w:rsidR="0030541F" w:rsidRPr="004F4B4E" w:rsidRDefault="0030541F"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LIMITED LIABILITY PARTNERSHIP</w:t>
            </w:r>
          </w:p>
        </w:tc>
      </w:tr>
      <w:tr w:rsidR="00F86527" w:rsidRPr="004F4B4E" w14:paraId="6033C62E" w14:textId="77777777" w:rsidTr="0030541F">
        <w:tc>
          <w:tcPr>
            <w:tcW w:w="1803" w:type="dxa"/>
          </w:tcPr>
          <w:p w14:paraId="6917252B" w14:textId="69E7C75B" w:rsidR="0030541F" w:rsidRPr="004F4B4E" w:rsidRDefault="0030541F"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OWNERSHIP</w:t>
            </w:r>
          </w:p>
        </w:tc>
        <w:tc>
          <w:tcPr>
            <w:tcW w:w="1803" w:type="dxa"/>
          </w:tcPr>
          <w:p w14:paraId="37F9C8AD" w14:textId="717CC989" w:rsidR="0030541F" w:rsidRPr="004F4B4E" w:rsidRDefault="0030541F"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Owned, </w:t>
            </w:r>
            <w:r w:rsidR="00821F87" w:rsidRPr="004F4B4E">
              <w:rPr>
                <w:rFonts w:ascii="Bahnschrift SemiCondensed" w:hAnsi="Bahnschrift SemiCondensed"/>
                <w:sz w:val="24"/>
                <w:szCs w:val="24"/>
                <w:lang w:val="en-US"/>
              </w:rPr>
              <w:t>managed,</w:t>
            </w:r>
            <w:r w:rsidRPr="004F4B4E">
              <w:rPr>
                <w:rFonts w:ascii="Bahnschrift SemiCondensed" w:hAnsi="Bahnschrift SemiCondensed"/>
                <w:sz w:val="24"/>
                <w:szCs w:val="24"/>
                <w:lang w:val="en-US"/>
              </w:rPr>
              <w:t xml:space="preserve"> and controlled by an individual who is the recipient of all profits and bearer of all risks.</w:t>
            </w:r>
          </w:p>
        </w:tc>
        <w:tc>
          <w:tcPr>
            <w:tcW w:w="1803" w:type="dxa"/>
          </w:tcPr>
          <w:p w14:paraId="151DF933" w14:textId="77777777" w:rsidR="0030541F" w:rsidRPr="004F4B4E" w:rsidRDefault="00821F8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It is a business which is owned by more than one person. </w:t>
            </w:r>
          </w:p>
          <w:p w14:paraId="04945776" w14:textId="4AC367F3" w:rsidR="00821F87" w:rsidRPr="004F4B4E" w:rsidRDefault="00821F8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Can be owned in equal or unequal amounts by partners.</w:t>
            </w:r>
          </w:p>
        </w:tc>
        <w:tc>
          <w:tcPr>
            <w:tcW w:w="1803" w:type="dxa"/>
          </w:tcPr>
          <w:p w14:paraId="3F346DF6" w14:textId="77777777" w:rsidR="0030541F" w:rsidRPr="004F4B4E" w:rsidRDefault="00F8652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It is a business which has a separate legal identity from the owners.</w:t>
            </w:r>
          </w:p>
          <w:p w14:paraId="49EC0FB3" w14:textId="2380E65E" w:rsidR="00F86527" w:rsidRPr="004F4B4E" w:rsidRDefault="00F8652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Shareholders are owners of the company.</w:t>
            </w:r>
          </w:p>
        </w:tc>
        <w:tc>
          <w:tcPr>
            <w:tcW w:w="1804" w:type="dxa"/>
          </w:tcPr>
          <w:p w14:paraId="00232AF6" w14:textId="19E47E43" w:rsidR="00B76278" w:rsidRPr="004F4B4E" w:rsidRDefault="00B76278"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In this two or members engage in a profit-making venture. There are no directors and shareholders.</w:t>
            </w:r>
          </w:p>
        </w:tc>
      </w:tr>
      <w:tr w:rsidR="00F86527" w:rsidRPr="004F4B4E" w14:paraId="0E5E8BD4" w14:textId="77777777" w:rsidTr="0030541F">
        <w:tc>
          <w:tcPr>
            <w:tcW w:w="1803" w:type="dxa"/>
          </w:tcPr>
          <w:p w14:paraId="3D46B000" w14:textId="539FBFC9" w:rsidR="0030541F" w:rsidRPr="004F4B4E" w:rsidRDefault="0030541F"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LIABILTY</w:t>
            </w:r>
          </w:p>
        </w:tc>
        <w:tc>
          <w:tcPr>
            <w:tcW w:w="1803" w:type="dxa"/>
          </w:tcPr>
          <w:p w14:paraId="5BDAB755" w14:textId="73BCF4FB" w:rsidR="0030541F" w:rsidRPr="004F4B4E" w:rsidRDefault="00821F8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Unlimited liability- if sued the total personal wealth of the sole trader can be used to pay off debts</w:t>
            </w:r>
          </w:p>
        </w:tc>
        <w:tc>
          <w:tcPr>
            <w:tcW w:w="1803" w:type="dxa"/>
          </w:tcPr>
          <w:p w14:paraId="70B80EB8" w14:textId="042229CD" w:rsidR="0030541F" w:rsidRPr="004F4B4E" w:rsidRDefault="00821F8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Unlimited liability- All partners are jointly liable and liable to the full extent of their personal wealth for the deficiencies in the business. </w:t>
            </w:r>
          </w:p>
        </w:tc>
        <w:tc>
          <w:tcPr>
            <w:tcW w:w="1803" w:type="dxa"/>
          </w:tcPr>
          <w:p w14:paraId="780CDC9E" w14:textId="101305D7" w:rsidR="0030541F" w:rsidRPr="004F4B4E" w:rsidRDefault="00F8652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The </w:t>
            </w:r>
            <w:r w:rsidR="00B76278" w:rsidRPr="004F4B4E">
              <w:rPr>
                <w:rFonts w:ascii="Bahnschrift SemiCondensed" w:hAnsi="Bahnschrift SemiCondensed"/>
                <w:sz w:val="24"/>
                <w:szCs w:val="24"/>
                <w:lang w:val="en-US"/>
              </w:rPr>
              <w:t>owner’s</w:t>
            </w:r>
            <w:r w:rsidRPr="004F4B4E">
              <w:rPr>
                <w:rFonts w:ascii="Bahnschrift SemiCondensed" w:hAnsi="Bahnschrift SemiCondensed"/>
                <w:sz w:val="24"/>
                <w:szCs w:val="24"/>
                <w:lang w:val="en-US"/>
              </w:rPr>
              <w:t xml:space="preserve"> liability is limited to the fully paid value of their shares.</w:t>
            </w:r>
          </w:p>
          <w:p w14:paraId="601996B0" w14:textId="716A07F5" w:rsidR="00F86527" w:rsidRPr="004F4B4E" w:rsidRDefault="00F86527" w:rsidP="0030541F">
            <w:pPr>
              <w:pStyle w:val="ListParagraph"/>
              <w:ind w:left="0"/>
              <w:rPr>
                <w:rFonts w:ascii="Bahnschrift SemiCondensed" w:hAnsi="Bahnschrift SemiCondensed"/>
                <w:sz w:val="24"/>
                <w:szCs w:val="24"/>
                <w:lang w:val="en-US"/>
              </w:rPr>
            </w:pPr>
          </w:p>
        </w:tc>
        <w:tc>
          <w:tcPr>
            <w:tcW w:w="1804" w:type="dxa"/>
          </w:tcPr>
          <w:p w14:paraId="76BDEE91" w14:textId="2EDFEF58" w:rsidR="00B76278" w:rsidRPr="004F4B4E" w:rsidRDefault="00B76278" w:rsidP="0030541F">
            <w:pPr>
              <w:pStyle w:val="ListParagraph"/>
              <w:ind w:left="0"/>
              <w:rPr>
                <w:rFonts w:ascii="Bahnschrift SemiCondensed" w:hAnsi="Bahnschrift SemiCondensed"/>
                <w:sz w:val="24"/>
                <w:szCs w:val="24"/>
                <w:lang w:val="en-US"/>
              </w:rPr>
            </w:pPr>
          </w:p>
          <w:p w14:paraId="50B6C2DD" w14:textId="09F9BD04" w:rsidR="0030541F" w:rsidRPr="004F4B4E" w:rsidRDefault="00B76278"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Actions can be taken on individual members who are found to be negligent and fraudulent. </w:t>
            </w:r>
          </w:p>
        </w:tc>
      </w:tr>
      <w:tr w:rsidR="00F86527" w:rsidRPr="004F4B4E" w14:paraId="0333A25A" w14:textId="77777777" w:rsidTr="0030541F">
        <w:tc>
          <w:tcPr>
            <w:tcW w:w="1803" w:type="dxa"/>
          </w:tcPr>
          <w:p w14:paraId="5C26FAF0" w14:textId="6917E1C9" w:rsidR="0030541F" w:rsidRPr="004F4B4E" w:rsidRDefault="0030541F"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LEGAL STATUS</w:t>
            </w:r>
          </w:p>
        </w:tc>
        <w:tc>
          <w:tcPr>
            <w:tcW w:w="1803" w:type="dxa"/>
          </w:tcPr>
          <w:p w14:paraId="5E75A87F" w14:textId="6AC3CB15" w:rsidR="0030541F" w:rsidRPr="004F4B4E" w:rsidRDefault="00821F8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No specific documentation required to establish such a business. Income tax returns need to be filed.</w:t>
            </w:r>
          </w:p>
        </w:tc>
        <w:tc>
          <w:tcPr>
            <w:tcW w:w="1803" w:type="dxa"/>
          </w:tcPr>
          <w:p w14:paraId="62CDEBC6" w14:textId="7310DBA7" w:rsidR="0030541F" w:rsidRPr="004F4B4E" w:rsidRDefault="00821F8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Most partnerships have a partnership agreement- consists of rights of individual partners.</w:t>
            </w:r>
          </w:p>
        </w:tc>
        <w:tc>
          <w:tcPr>
            <w:tcW w:w="1803" w:type="dxa"/>
          </w:tcPr>
          <w:p w14:paraId="52313763" w14:textId="77777777" w:rsidR="00F86527" w:rsidRPr="004F4B4E" w:rsidRDefault="00F8652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These must have:</w:t>
            </w:r>
          </w:p>
          <w:p w14:paraId="10DAEA64" w14:textId="6E07A7D9" w:rsidR="0030541F" w:rsidRPr="004F4B4E" w:rsidRDefault="00F86527"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-Memorandum of Association: This records the intentions of the people concerned to </w:t>
            </w:r>
            <w:r w:rsidRPr="004F4B4E">
              <w:rPr>
                <w:rFonts w:ascii="Bahnschrift SemiCondensed" w:hAnsi="Bahnschrift SemiCondensed"/>
                <w:sz w:val="24"/>
                <w:szCs w:val="24"/>
                <w:lang w:val="en-US"/>
              </w:rPr>
              <w:lastRenderedPageBreak/>
              <w:t>form the busine</w:t>
            </w:r>
            <w:r w:rsidR="00877073" w:rsidRPr="004F4B4E">
              <w:rPr>
                <w:rFonts w:ascii="Bahnschrift SemiCondensed" w:hAnsi="Bahnschrift SemiCondensed"/>
                <w:sz w:val="24"/>
                <w:szCs w:val="24"/>
                <w:lang w:val="en-US"/>
              </w:rPr>
              <w:t>ss.</w:t>
            </w:r>
          </w:p>
        </w:tc>
        <w:tc>
          <w:tcPr>
            <w:tcW w:w="1804" w:type="dxa"/>
          </w:tcPr>
          <w:p w14:paraId="344AC28A" w14:textId="77777777" w:rsidR="0030541F" w:rsidRPr="004F4B4E" w:rsidRDefault="00B76278"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lastRenderedPageBreak/>
              <w:t>No MOA or AOA required.</w:t>
            </w:r>
          </w:p>
          <w:p w14:paraId="395EC18A" w14:textId="29F5527A" w:rsidR="00B76278" w:rsidRPr="004F4B4E" w:rsidRDefault="00B76278" w:rsidP="0030541F">
            <w:pPr>
              <w:pStyle w:val="ListParagraph"/>
              <w:ind w:left="0"/>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LLP is governed the partnership agreement that may already be in force within an </w:t>
            </w:r>
            <w:r w:rsidRPr="004F4B4E">
              <w:rPr>
                <w:rFonts w:ascii="Bahnschrift SemiCondensed" w:hAnsi="Bahnschrift SemiCondensed"/>
                <w:sz w:val="24"/>
                <w:szCs w:val="24"/>
                <w:lang w:val="en-US"/>
              </w:rPr>
              <w:lastRenderedPageBreak/>
              <w:t>existing partnership</w:t>
            </w:r>
          </w:p>
        </w:tc>
      </w:tr>
    </w:tbl>
    <w:p w14:paraId="68A099DB" w14:textId="4369EA70" w:rsidR="00867B9D" w:rsidRPr="004F4B4E" w:rsidRDefault="00867B9D" w:rsidP="0030541F">
      <w:pPr>
        <w:pStyle w:val="ListParagraph"/>
        <w:rPr>
          <w:rFonts w:ascii="Bahnschrift SemiCondensed" w:hAnsi="Bahnschrift SemiCondensed"/>
          <w:sz w:val="24"/>
          <w:szCs w:val="24"/>
          <w:lang w:val="en-US"/>
        </w:rPr>
      </w:pPr>
    </w:p>
    <w:p w14:paraId="0D7596EF" w14:textId="732C1A0D" w:rsidR="00D8065F" w:rsidRPr="004F4B4E" w:rsidRDefault="00D8065F" w:rsidP="00D8065F">
      <w:pPr>
        <w:pStyle w:val="ListParagraph"/>
        <w:numPr>
          <w:ilvl w:val="0"/>
          <w:numId w:val="1"/>
        </w:numPr>
        <w:rPr>
          <w:rFonts w:ascii="Bahnschrift SemiCondensed" w:hAnsi="Bahnschrift SemiCondensed"/>
          <w:sz w:val="24"/>
          <w:szCs w:val="24"/>
          <w:lang w:val="en-US"/>
        </w:rPr>
      </w:pPr>
      <w:r w:rsidRPr="004F4B4E">
        <w:rPr>
          <w:rFonts w:ascii="Bahnschrift SemiCondensed" w:hAnsi="Bahnschrift SemiCondensed"/>
          <w:sz w:val="24"/>
          <w:szCs w:val="24"/>
          <w:lang w:val="en-US"/>
        </w:rPr>
        <w:t>The individual should opt for sole proprietorship instead of floating a limited company as the former pays less taxes. This is because a corporation is treated as a separate enity meaning that it has to pay state as well as federal taxes on the money it earns.</w:t>
      </w:r>
    </w:p>
    <w:p w14:paraId="7DF04CA5" w14:textId="77777777" w:rsidR="00D8065F" w:rsidRPr="004F4B4E" w:rsidRDefault="00D8065F" w:rsidP="00D8065F">
      <w:pPr>
        <w:pStyle w:val="ListParagraph"/>
        <w:rPr>
          <w:rFonts w:ascii="Bahnschrift SemiCondensed" w:hAnsi="Bahnschrift SemiCondensed"/>
          <w:sz w:val="24"/>
          <w:szCs w:val="24"/>
          <w:lang w:val="en-US"/>
        </w:rPr>
      </w:pPr>
    </w:p>
    <w:p w14:paraId="158FB31C" w14:textId="542A91EF" w:rsidR="000A7B0F" w:rsidRPr="004F4B4E" w:rsidRDefault="000A7B0F" w:rsidP="00877073">
      <w:pPr>
        <w:pStyle w:val="ListParagraph"/>
        <w:numPr>
          <w:ilvl w:val="0"/>
          <w:numId w:val="1"/>
        </w:numPr>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Working capital is the cash or other liquid assets that a business uses to cover day to day operations like paying bills and payrolls of employees. </w:t>
      </w:r>
    </w:p>
    <w:p w14:paraId="65F3B31A" w14:textId="512AC90E" w:rsidR="000A7B0F" w:rsidRPr="004F4B4E" w:rsidRDefault="000A7B0F" w:rsidP="000A7B0F">
      <w:pPr>
        <w:pStyle w:val="ListParagraph"/>
        <w:rPr>
          <w:rFonts w:ascii="Bahnschrift SemiCondensed" w:hAnsi="Bahnschrift SemiCondensed"/>
          <w:sz w:val="24"/>
          <w:szCs w:val="24"/>
          <w:lang w:val="en-US"/>
        </w:rPr>
      </w:pPr>
    </w:p>
    <w:p w14:paraId="6449D67E" w14:textId="3DE76E50" w:rsidR="00877073" w:rsidRPr="004F4B4E" w:rsidRDefault="000A7B0F" w:rsidP="00877073">
      <w:pPr>
        <w:pStyle w:val="ListParagraph"/>
        <w:numPr>
          <w:ilvl w:val="0"/>
          <w:numId w:val="1"/>
        </w:numPr>
        <w:rPr>
          <w:rFonts w:ascii="Bahnschrift SemiCondensed" w:hAnsi="Bahnschrift SemiCondensed"/>
          <w:sz w:val="24"/>
          <w:szCs w:val="24"/>
          <w:lang w:val="en-US"/>
        </w:rPr>
      </w:pPr>
      <w:r w:rsidRPr="004F4B4E">
        <w:rPr>
          <w:rFonts w:ascii="Bahnschrift SemiCondensed" w:hAnsi="Bahnschrift SemiCondensed"/>
          <w:sz w:val="24"/>
          <w:szCs w:val="24"/>
          <w:lang w:val="en-US"/>
        </w:rPr>
        <w:t>Economies of scale</w:t>
      </w:r>
      <w:r w:rsidR="005C7082" w:rsidRPr="004F4B4E">
        <w:rPr>
          <w:rFonts w:ascii="Bahnschrift SemiCondensed" w:hAnsi="Bahnschrift SemiCondensed"/>
          <w:sz w:val="24"/>
          <w:szCs w:val="24"/>
          <w:lang w:val="en-US"/>
        </w:rPr>
        <w:t xml:space="preserve"> refers to the proportionate savings in costs gained by an increased level of production.</w:t>
      </w:r>
    </w:p>
    <w:p w14:paraId="64A9DFCD" w14:textId="671085D5" w:rsidR="005B3FB9" w:rsidRPr="004F4B4E" w:rsidRDefault="005B3FB9" w:rsidP="005B3FB9">
      <w:pPr>
        <w:ind w:left="360"/>
        <w:rPr>
          <w:rFonts w:ascii="Bahnschrift SemiCondensed" w:hAnsi="Bahnschrift SemiCondensed"/>
          <w:sz w:val="24"/>
          <w:szCs w:val="24"/>
          <w:lang w:val="en-US"/>
        </w:rPr>
      </w:pPr>
    </w:p>
    <w:p w14:paraId="0C3CF70A" w14:textId="306C393C" w:rsidR="00867B9D" w:rsidRPr="004F4B4E" w:rsidRDefault="00677992" w:rsidP="00677992">
      <w:pPr>
        <w:pStyle w:val="ListParagraph"/>
        <w:numPr>
          <w:ilvl w:val="0"/>
          <w:numId w:val="1"/>
        </w:numPr>
        <w:rPr>
          <w:rFonts w:ascii="Bahnschrift SemiCondensed" w:hAnsi="Bahnschrift SemiCondensed"/>
          <w:sz w:val="24"/>
          <w:szCs w:val="24"/>
          <w:lang w:val="en-US"/>
        </w:rPr>
      </w:pPr>
      <w:r w:rsidRPr="004F4B4E">
        <w:rPr>
          <w:rFonts w:ascii="Bahnschrift SemiCondensed" w:hAnsi="Bahnschrift SemiCondensed"/>
          <w:sz w:val="24"/>
          <w:szCs w:val="24"/>
          <w:lang w:val="en-US"/>
        </w:rPr>
        <w:t>If a pension fund or investment company must report its financial position every year, it may be more averse to very short-term investment losses than if it had to report only every three years. It might therefore result in the fund investing less heavily in equities, and possibly also less heavily in long-term bonds.</w:t>
      </w:r>
    </w:p>
    <w:p w14:paraId="021CCA47" w14:textId="77777777" w:rsidR="00677992" w:rsidRPr="004F4B4E" w:rsidRDefault="00677992" w:rsidP="00677992">
      <w:pPr>
        <w:pStyle w:val="ListParagraph"/>
        <w:rPr>
          <w:rFonts w:ascii="Bahnschrift SemiCondensed" w:hAnsi="Bahnschrift SemiCondensed"/>
          <w:sz w:val="24"/>
          <w:szCs w:val="24"/>
          <w:lang w:val="en-US"/>
        </w:rPr>
      </w:pPr>
    </w:p>
    <w:p w14:paraId="511CBAFD" w14:textId="3F88FE27" w:rsidR="007E2015" w:rsidRPr="004F4B4E" w:rsidRDefault="00877073" w:rsidP="00877073">
      <w:pPr>
        <w:pStyle w:val="ListParagraph"/>
        <w:numPr>
          <w:ilvl w:val="0"/>
          <w:numId w:val="1"/>
        </w:numPr>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 </w:t>
      </w:r>
      <w:r w:rsidR="00FF4014" w:rsidRPr="004F4B4E">
        <w:rPr>
          <w:rFonts w:ascii="Bahnschrift SemiCondensed" w:hAnsi="Bahnschrift SemiCondensed"/>
          <w:sz w:val="24"/>
          <w:szCs w:val="24"/>
          <w:lang w:val="en-US"/>
        </w:rPr>
        <w:t>Holding costs are those associated with storing inventory that remains unsold</w:t>
      </w:r>
      <w:r w:rsidR="007E2015" w:rsidRPr="004F4B4E">
        <w:rPr>
          <w:rFonts w:ascii="Bahnschrift SemiCondensed" w:hAnsi="Bahnschrift SemiCondensed"/>
          <w:sz w:val="24"/>
          <w:szCs w:val="24"/>
          <w:lang w:val="en-US"/>
        </w:rPr>
        <w:t>. The costs could include:</w:t>
      </w:r>
    </w:p>
    <w:p w14:paraId="212E2E86" w14:textId="77777777" w:rsidR="007E2015" w:rsidRPr="004F4B4E" w:rsidRDefault="007E2015" w:rsidP="007E2015">
      <w:pPr>
        <w:pStyle w:val="ListParagraph"/>
        <w:rPr>
          <w:rFonts w:ascii="Bahnschrift SemiCondensed" w:hAnsi="Bahnschrift SemiCondensed"/>
          <w:sz w:val="24"/>
          <w:szCs w:val="24"/>
          <w:lang w:val="en-US"/>
        </w:rPr>
      </w:pPr>
    </w:p>
    <w:p w14:paraId="5FCEF231" w14:textId="2BBA6554" w:rsidR="007E2015" w:rsidRPr="004F4B4E" w:rsidRDefault="007E2015" w:rsidP="007E2015">
      <w:pPr>
        <w:pStyle w:val="ListParagraph"/>
        <w:numPr>
          <w:ilvl w:val="0"/>
          <w:numId w:val="3"/>
        </w:numPr>
        <w:rPr>
          <w:rFonts w:ascii="Bahnschrift SemiCondensed" w:hAnsi="Bahnschrift SemiCondensed"/>
          <w:sz w:val="24"/>
          <w:szCs w:val="24"/>
          <w:lang w:val="en-US"/>
        </w:rPr>
      </w:pPr>
      <w:r w:rsidRPr="004F4B4E">
        <w:rPr>
          <w:rFonts w:ascii="Bahnschrift SemiCondensed" w:hAnsi="Bahnschrift SemiCondensed"/>
          <w:sz w:val="24"/>
          <w:szCs w:val="24"/>
          <w:lang w:val="en-US"/>
        </w:rPr>
        <w:t>Price of damaged or spoiled goods</w:t>
      </w:r>
    </w:p>
    <w:p w14:paraId="1E18B713" w14:textId="6C7043FA" w:rsidR="007E2015" w:rsidRPr="004F4B4E" w:rsidRDefault="007E2015" w:rsidP="007E2015">
      <w:pPr>
        <w:pStyle w:val="ListParagraph"/>
        <w:numPr>
          <w:ilvl w:val="0"/>
          <w:numId w:val="3"/>
        </w:numPr>
        <w:rPr>
          <w:rFonts w:ascii="Bahnschrift SemiCondensed" w:hAnsi="Bahnschrift SemiCondensed"/>
          <w:sz w:val="24"/>
          <w:szCs w:val="24"/>
          <w:lang w:val="en-US"/>
        </w:rPr>
      </w:pPr>
      <w:r w:rsidRPr="004F4B4E">
        <w:rPr>
          <w:rFonts w:ascii="Bahnschrift SemiCondensed" w:hAnsi="Bahnschrift SemiCondensed"/>
          <w:sz w:val="24"/>
          <w:szCs w:val="24"/>
          <w:lang w:val="en-US"/>
        </w:rPr>
        <w:t>Storage space</w:t>
      </w:r>
    </w:p>
    <w:p w14:paraId="29ECCBB4" w14:textId="14603B2E" w:rsidR="007E2015" w:rsidRPr="004F4B4E" w:rsidRDefault="007E2015" w:rsidP="007E2015">
      <w:pPr>
        <w:pStyle w:val="ListParagraph"/>
        <w:numPr>
          <w:ilvl w:val="0"/>
          <w:numId w:val="3"/>
        </w:numPr>
        <w:rPr>
          <w:rFonts w:ascii="Bahnschrift SemiCondensed" w:hAnsi="Bahnschrift SemiCondensed"/>
          <w:sz w:val="24"/>
          <w:szCs w:val="24"/>
          <w:lang w:val="en-US"/>
        </w:rPr>
      </w:pPr>
      <w:r w:rsidRPr="004F4B4E">
        <w:rPr>
          <w:rFonts w:ascii="Bahnschrift SemiCondensed" w:hAnsi="Bahnschrift SemiCondensed"/>
          <w:sz w:val="24"/>
          <w:szCs w:val="24"/>
          <w:lang w:val="en-US"/>
        </w:rPr>
        <w:t>Labor</w:t>
      </w:r>
    </w:p>
    <w:p w14:paraId="4D4CAC05" w14:textId="48BC55C5" w:rsidR="007E2015" w:rsidRPr="004F4B4E" w:rsidRDefault="007E2015" w:rsidP="007E2015">
      <w:pPr>
        <w:pStyle w:val="ListParagraph"/>
        <w:numPr>
          <w:ilvl w:val="0"/>
          <w:numId w:val="3"/>
        </w:numPr>
        <w:rPr>
          <w:rFonts w:ascii="Bahnschrift SemiCondensed" w:hAnsi="Bahnschrift SemiCondensed"/>
          <w:sz w:val="24"/>
          <w:szCs w:val="24"/>
          <w:lang w:val="en-US"/>
        </w:rPr>
      </w:pPr>
      <w:r w:rsidRPr="004F4B4E">
        <w:rPr>
          <w:rFonts w:ascii="Bahnschrift SemiCondensed" w:hAnsi="Bahnschrift SemiCondensed"/>
          <w:sz w:val="24"/>
          <w:szCs w:val="24"/>
          <w:lang w:val="en-US"/>
        </w:rPr>
        <w:t>insurance</w:t>
      </w:r>
    </w:p>
    <w:p w14:paraId="7FFBEFC9" w14:textId="2717B882" w:rsidR="007E2015" w:rsidRPr="004F4B4E" w:rsidRDefault="007E2015" w:rsidP="007E2015">
      <w:pPr>
        <w:rPr>
          <w:rFonts w:ascii="Bahnschrift SemiCondensed" w:hAnsi="Bahnschrift SemiCondensed"/>
          <w:sz w:val="24"/>
          <w:szCs w:val="24"/>
          <w:lang w:val="en-US"/>
        </w:rPr>
      </w:pPr>
      <w:r w:rsidRPr="004F4B4E">
        <w:rPr>
          <w:rFonts w:ascii="Bahnschrift SemiCondensed" w:hAnsi="Bahnschrift SemiCondensed"/>
          <w:sz w:val="24"/>
          <w:szCs w:val="24"/>
          <w:lang w:val="en-US"/>
        </w:rPr>
        <w:t xml:space="preserve"> </w:t>
      </w:r>
    </w:p>
    <w:p w14:paraId="0346648B" w14:textId="1A9EE149" w:rsidR="00F54EF6" w:rsidRPr="004F4B4E" w:rsidRDefault="00F54EF6" w:rsidP="00F54EF6">
      <w:pPr>
        <w:rPr>
          <w:rFonts w:ascii="Bahnschrift SemiCondensed" w:hAnsi="Bahnschrift SemiCondensed"/>
          <w:sz w:val="24"/>
          <w:szCs w:val="24"/>
          <w:lang w:val="en-US"/>
        </w:rPr>
      </w:pPr>
    </w:p>
    <w:p w14:paraId="52DC3B58" w14:textId="77777777" w:rsidR="00714147" w:rsidRPr="004F4B4E" w:rsidRDefault="00714147" w:rsidP="00714147">
      <w:pPr>
        <w:jc w:val="center"/>
        <w:rPr>
          <w:rFonts w:ascii="Bahnschrift SemiCondensed" w:hAnsi="Bahnschrift SemiCondensed"/>
          <w:sz w:val="24"/>
          <w:szCs w:val="24"/>
          <w:lang w:val="en-US"/>
        </w:rPr>
      </w:pPr>
    </w:p>
    <w:sectPr w:rsidR="00714147" w:rsidRPr="004F4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hnschrif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0A7B0F"/>
    <w:rsid w:val="00273F30"/>
    <w:rsid w:val="0030541F"/>
    <w:rsid w:val="00390B16"/>
    <w:rsid w:val="0044178B"/>
    <w:rsid w:val="004F4B4E"/>
    <w:rsid w:val="005B3920"/>
    <w:rsid w:val="005B3FB9"/>
    <w:rsid w:val="005C7082"/>
    <w:rsid w:val="00677992"/>
    <w:rsid w:val="00714147"/>
    <w:rsid w:val="007E2015"/>
    <w:rsid w:val="00821F87"/>
    <w:rsid w:val="0085534B"/>
    <w:rsid w:val="00867B9D"/>
    <w:rsid w:val="00877073"/>
    <w:rsid w:val="00AC575C"/>
    <w:rsid w:val="00B76278"/>
    <w:rsid w:val="00BC64E1"/>
    <w:rsid w:val="00C20454"/>
    <w:rsid w:val="00D74163"/>
    <w:rsid w:val="00D8065F"/>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Jeet Jejurikar</cp:lastModifiedBy>
  <cp:revision>5</cp:revision>
  <dcterms:created xsi:type="dcterms:W3CDTF">2022-01-02T14:52:00Z</dcterms:created>
  <dcterms:modified xsi:type="dcterms:W3CDTF">2022-01-25T11:01:00Z</dcterms:modified>
</cp:coreProperties>
</file>