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DD8" w:rsidRPr="00373DCE" w:rsidRDefault="00373DCE" w:rsidP="00373DCE">
      <w:pPr>
        <w:jc w:val="center"/>
        <w:rPr>
          <w:rFonts w:ascii="Algerian" w:hAnsi="Algerian"/>
          <w:i/>
          <w:sz w:val="48"/>
          <w:szCs w:val="48"/>
          <w:u w:val="single"/>
        </w:rPr>
      </w:pPr>
      <w:r w:rsidRPr="00373DCE">
        <w:rPr>
          <w:rFonts w:ascii="Algerian" w:hAnsi="Algerian"/>
          <w:i/>
          <w:sz w:val="48"/>
          <w:szCs w:val="48"/>
          <w:u w:val="single"/>
        </w:rPr>
        <w:t>Business Finance-1</w:t>
      </w:r>
    </w:p>
    <w:p w:rsidR="00373DCE" w:rsidRDefault="00373DCE" w:rsidP="00373DCE">
      <w:pPr>
        <w:jc w:val="center"/>
        <w:rPr>
          <w:rFonts w:ascii="Algerian" w:hAnsi="Algerian"/>
          <w:i/>
          <w:sz w:val="48"/>
          <w:szCs w:val="48"/>
          <w:u w:val="single"/>
        </w:rPr>
      </w:pPr>
      <w:r w:rsidRPr="00373DCE">
        <w:rPr>
          <w:rFonts w:ascii="Algerian" w:hAnsi="Algerian"/>
          <w:i/>
          <w:sz w:val="48"/>
          <w:szCs w:val="48"/>
          <w:u w:val="single"/>
        </w:rPr>
        <w:t>Assignment 2</w:t>
      </w:r>
    </w:p>
    <w:p w:rsidR="007A161A" w:rsidRPr="007A161A" w:rsidRDefault="007A161A" w:rsidP="00373DCE">
      <w:pPr>
        <w:jc w:val="center"/>
        <w:rPr>
          <w:rFonts w:ascii="Algerian" w:hAnsi="Algerian"/>
          <w:i/>
          <w:sz w:val="16"/>
          <w:szCs w:val="16"/>
          <w:u w:val="single"/>
        </w:rPr>
      </w:pPr>
    </w:p>
    <w:p w:rsidR="00373DCE" w:rsidRPr="00971C3A" w:rsidRDefault="00373DCE" w:rsidP="00373DCE">
      <w:pPr>
        <w:pStyle w:val="ListParagraph"/>
        <w:numPr>
          <w:ilvl w:val="0"/>
          <w:numId w:val="1"/>
        </w:numPr>
        <w:rPr>
          <w:rFonts w:ascii="Arial" w:hAnsi="Arial" w:cs="Arial"/>
        </w:rPr>
      </w:pPr>
      <w:r w:rsidRPr="00971C3A">
        <w:rPr>
          <w:rFonts w:ascii="Arial" w:hAnsi="Arial" w:cs="Arial"/>
        </w:rPr>
        <w:t>Liquidity Preference- It suggests that</w:t>
      </w:r>
      <w:r w:rsidRPr="00971C3A">
        <w:rPr>
          <w:rFonts w:ascii="Arial" w:hAnsi="Arial" w:cs="Arial"/>
          <w:bCs/>
        </w:rPr>
        <w:t xml:space="preserve"> investors demand a higher interest rate or premium on securities</w:t>
      </w:r>
      <w:r w:rsidRPr="00971C3A">
        <w:rPr>
          <w:rFonts w:ascii="Arial" w:hAnsi="Arial" w:cs="Arial"/>
        </w:rPr>
        <w:t> with long-term or medium-term maturities that carry greater risk because, all other factors being equal, investors prefer cash or other highly liquid holdings.</w:t>
      </w:r>
      <w:r w:rsidRPr="00971C3A">
        <w:rPr>
          <w:rFonts w:ascii="Arial" w:hAnsi="Arial" w:cs="Arial"/>
          <w:color w:val="111111"/>
          <w:spacing w:val="1"/>
          <w:sz w:val="27"/>
          <w:szCs w:val="27"/>
          <w:shd w:val="clear" w:color="auto" w:fill="FFFFFF"/>
        </w:rPr>
        <w:t xml:space="preserve"> </w:t>
      </w:r>
    </w:p>
    <w:p w:rsidR="00971C3A" w:rsidRPr="00971C3A" w:rsidRDefault="00021DCB" w:rsidP="00971C3A">
      <w:pPr>
        <w:pStyle w:val="ListParagraph"/>
        <w:rPr>
          <w:rFonts w:ascii="Arial" w:hAnsi="Arial" w:cs="Arial"/>
          <w:spacing w:val="1"/>
          <w:shd w:val="clear" w:color="auto" w:fill="FFFFFF"/>
        </w:rPr>
      </w:pPr>
      <w:r w:rsidRPr="00971C3A">
        <w:rPr>
          <w:rFonts w:ascii="Arial" w:hAnsi="Arial" w:cs="Arial"/>
          <w:spacing w:val="1"/>
          <w:shd w:val="clear" w:color="auto" w:fill="FFFFFF"/>
        </w:rPr>
        <w:t xml:space="preserve">As an example, </w:t>
      </w:r>
      <w:r w:rsidR="007A161A" w:rsidRPr="00971C3A">
        <w:rPr>
          <w:rFonts w:ascii="Arial" w:hAnsi="Arial" w:cs="Arial"/>
          <w:spacing w:val="1"/>
          <w:shd w:val="clear" w:color="auto" w:fill="FFFFFF"/>
        </w:rPr>
        <w:t>a</w:t>
      </w:r>
      <w:r w:rsidRPr="00971C3A">
        <w:rPr>
          <w:rFonts w:ascii="Arial" w:hAnsi="Arial" w:cs="Arial"/>
          <w:spacing w:val="1"/>
          <w:shd w:val="clear" w:color="auto" w:fill="FFFFFF"/>
        </w:rPr>
        <w:t xml:space="preserve"> three-year </w:t>
      </w:r>
      <w:hyperlink r:id="rId6" w:history="1">
        <w:r w:rsidRPr="00971C3A">
          <w:rPr>
            <w:rStyle w:val="Hyperlink"/>
            <w:rFonts w:ascii="Arial" w:hAnsi="Arial" w:cs="Arial"/>
            <w:color w:val="auto"/>
            <w:spacing w:val="1"/>
            <w:u w:val="none"/>
            <w:shd w:val="clear" w:color="auto" w:fill="FFFFFF"/>
          </w:rPr>
          <w:t>Treasury note</w:t>
        </w:r>
      </w:hyperlink>
      <w:r w:rsidRPr="00971C3A">
        <w:rPr>
          <w:rFonts w:ascii="Arial" w:hAnsi="Arial" w:cs="Arial"/>
          <w:spacing w:val="1"/>
          <w:shd w:val="clear" w:color="auto" w:fill="FFFFFF"/>
        </w:rPr>
        <w:t> might pay a 2% interest rate, a </w:t>
      </w:r>
      <w:hyperlink r:id="rId7" w:history="1">
        <w:r w:rsidRPr="00971C3A">
          <w:rPr>
            <w:rStyle w:val="Hyperlink"/>
            <w:rFonts w:ascii="Arial" w:hAnsi="Arial" w:cs="Arial"/>
            <w:color w:val="auto"/>
            <w:spacing w:val="1"/>
            <w:u w:val="none"/>
            <w:shd w:val="clear" w:color="auto" w:fill="FFFFFF"/>
          </w:rPr>
          <w:t>10-year treasury note</w:t>
        </w:r>
      </w:hyperlink>
      <w:r w:rsidRPr="00971C3A">
        <w:rPr>
          <w:rFonts w:ascii="Arial" w:hAnsi="Arial" w:cs="Arial"/>
          <w:spacing w:val="1"/>
          <w:shd w:val="clear" w:color="auto" w:fill="FFFFFF"/>
        </w:rPr>
        <w:t> might pay a 4% interest rate and a </w:t>
      </w:r>
      <w:hyperlink r:id="rId8" w:history="1">
        <w:r w:rsidRPr="00971C3A">
          <w:rPr>
            <w:rStyle w:val="Hyperlink"/>
            <w:rFonts w:ascii="Arial" w:hAnsi="Arial" w:cs="Arial"/>
            <w:color w:val="auto"/>
            <w:spacing w:val="1"/>
            <w:u w:val="none"/>
            <w:shd w:val="clear" w:color="auto" w:fill="FFFFFF"/>
          </w:rPr>
          <w:t>30-year treasury</w:t>
        </w:r>
      </w:hyperlink>
      <w:r w:rsidRPr="00971C3A">
        <w:rPr>
          <w:rFonts w:ascii="Arial" w:hAnsi="Arial" w:cs="Arial"/>
          <w:spacing w:val="1"/>
          <w:shd w:val="clear" w:color="auto" w:fill="FFFFFF"/>
        </w:rPr>
        <w:t> bond might pay a 6% interest rate. For the investor to sacrifice liquidity, they must receive a higher rate of return in exchange for agreeing to have the cash tied up for a longer period of time.</w:t>
      </w:r>
    </w:p>
    <w:p w:rsidR="00971C3A" w:rsidRPr="00971C3A" w:rsidRDefault="00971C3A" w:rsidP="00971C3A">
      <w:pPr>
        <w:pStyle w:val="ListParagraph"/>
        <w:rPr>
          <w:rFonts w:ascii="Arial" w:hAnsi="Arial" w:cs="Arial"/>
          <w:spacing w:val="1"/>
          <w:shd w:val="clear" w:color="auto" w:fill="FFFFFF"/>
        </w:rPr>
      </w:pPr>
    </w:p>
    <w:p w:rsidR="00971C3A" w:rsidRDefault="00E5072A" w:rsidP="00E5072A">
      <w:pPr>
        <w:pStyle w:val="ListParagraph"/>
        <w:numPr>
          <w:ilvl w:val="0"/>
          <w:numId w:val="1"/>
        </w:numPr>
        <w:rPr>
          <w:rFonts w:ascii="Arial" w:hAnsi="Arial" w:cs="Arial"/>
          <w:spacing w:val="1"/>
          <w:shd w:val="clear" w:color="auto" w:fill="FFFFFF"/>
        </w:rPr>
      </w:pPr>
      <w:r w:rsidRPr="00E5072A">
        <w:rPr>
          <w:rFonts w:ascii="Arial" w:hAnsi="Arial" w:cs="Arial"/>
          <w:spacing w:val="1"/>
          <w:shd w:val="clear" w:color="auto" w:fill="FFFFFF"/>
        </w:rPr>
        <w:t>Managers</w:t>
      </w:r>
      <w:r>
        <w:rPr>
          <w:rFonts w:ascii="Arial" w:hAnsi="Arial" w:cs="Arial"/>
          <w:spacing w:val="1"/>
          <w:shd w:val="clear" w:color="auto" w:fill="FFFFFF"/>
        </w:rPr>
        <w:t xml:space="preserve"> of companies</w:t>
      </w:r>
      <w:r w:rsidRPr="00E5072A">
        <w:rPr>
          <w:rFonts w:ascii="Arial" w:hAnsi="Arial" w:cs="Arial"/>
          <w:spacing w:val="1"/>
          <w:shd w:val="clear" w:color="auto" w:fill="FFFFFF"/>
        </w:rPr>
        <w:t xml:space="preserve"> tend to conservatism in good years</w:t>
      </w:r>
      <w:r>
        <w:rPr>
          <w:rFonts w:ascii="Arial" w:hAnsi="Arial" w:cs="Arial"/>
          <w:spacing w:val="1"/>
          <w:shd w:val="clear" w:color="auto" w:fill="FFFFFF"/>
        </w:rPr>
        <w:t xml:space="preserve"> </w:t>
      </w:r>
      <w:r w:rsidRPr="00E5072A">
        <w:rPr>
          <w:rFonts w:ascii="Arial" w:hAnsi="Arial" w:cs="Arial"/>
          <w:spacing w:val="1"/>
          <w:shd w:val="clear" w:color="auto" w:fill="FFFFFF"/>
        </w:rPr>
        <w:t>especially th</w:t>
      </w:r>
      <w:r>
        <w:rPr>
          <w:rFonts w:ascii="Arial" w:hAnsi="Arial" w:cs="Arial"/>
          <w:spacing w:val="1"/>
          <w:shd w:val="clear" w:color="auto" w:fill="FFFFFF"/>
        </w:rPr>
        <w:t>ose companies that are new to the market as s</w:t>
      </w:r>
      <w:r w:rsidRPr="00E5072A">
        <w:rPr>
          <w:rFonts w:ascii="Arial" w:hAnsi="Arial" w:cs="Arial"/>
          <w:spacing w:val="1"/>
          <w:shd w:val="clear" w:color="auto" w:fill="FFFFFF"/>
        </w:rPr>
        <w:t>tock markets display significant adverse reactions to</w:t>
      </w:r>
      <w:r>
        <w:rPr>
          <w:rFonts w:ascii="Arial" w:hAnsi="Arial" w:cs="Arial"/>
          <w:spacing w:val="1"/>
          <w:shd w:val="clear" w:color="auto" w:fill="FFFFFF"/>
        </w:rPr>
        <w:t xml:space="preserve"> </w:t>
      </w:r>
      <w:r w:rsidRPr="00E5072A">
        <w:rPr>
          <w:rFonts w:ascii="Arial" w:hAnsi="Arial" w:cs="Arial"/>
          <w:spacing w:val="1"/>
          <w:shd w:val="clear" w:color="auto" w:fill="FFFFFF"/>
        </w:rPr>
        <w:t>announcements of dividend cuts.</w:t>
      </w:r>
      <w:r w:rsidRPr="00E5072A">
        <w:t xml:space="preserve"> </w:t>
      </w:r>
      <w:r w:rsidRPr="00E5072A">
        <w:rPr>
          <w:rFonts w:ascii="Arial" w:hAnsi="Arial" w:cs="Arial"/>
          <w:spacing w:val="1"/>
          <w:shd w:val="clear" w:color="auto" w:fill="FFFFFF"/>
        </w:rPr>
        <w:t>If the stock market is focused on the short term, it is possible that investors will reward companies</w:t>
      </w:r>
      <w:r>
        <w:rPr>
          <w:rFonts w:ascii="Arial" w:hAnsi="Arial" w:cs="Arial"/>
          <w:spacing w:val="1"/>
          <w:shd w:val="clear" w:color="auto" w:fill="FFFFFF"/>
        </w:rPr>
        <w:t xml:space="preserve"> </w:t>
      </w:r>
      <w:r w:rsidRPr="00E5072A">
        <w:rPr>
          <w:rFonts w:ascii="Arial" w:hAnsi="Arial" w:cs="Arial"/>
          <w:spacing w:val="1"/>
          <w:shd w:val="clear" w:color="auto" w:fill="FFFFFF"/>
        </w:rPr>
        <w:t>that pay high dividends with a high share price. Companies may then return too much to</w:t>
      </w:r>
      <w:r w:rsidRPr="00E5072A">
        <w:rPr>
          <w:rFonts w:ascii="Arial" w:hAnsi="Arial" w:cs="Arial"/>
          <w:spacing w:val="1"/>
          <w:shd w:val="clear" w:color="auto" w:fill="FFFFFF"/>
        </w:rPr>
        <w:t xml:space="preserve"> </w:t>
      </w:r>
      <w:r w:rsidRPr="00E5072A">
        <w:rPr>
          <w:rFonts w:ascii="Arial" w:hAnsi="Arial" w:cs="Arial"/>
          <w:spacing w:val="1"/>
          <w:shd w:val="clear" w:color="auto" w:fill="FFFFFF"/>
        </w:rPr>
        <w:t>shareholders, rather than focusing on the payout ratio that best suits their business, which may be</w:t>
      </w:r>
      <w:r w:rsidRPr="00E5072A">
        <w:rPr>
          <w:rFonts w:ascii="Arial" w:hAnsi="Arial" w:cs="Arial"/>
          <w:spacing w:val="1"/>
          <w:shd w:val="clear" w:color="auto" w:fill="FFFFFF"/>
        </w:rPr>
        <w:t xml:space="preserve"> </w:t>
      </w:r>
      <w:r w:rsidRPr="00E5072A">
        <w:rPr>
          <w:rFonts w:ascii="Arial" w:hAnsi="Arial" w:cs="Arial"/>
          <w:spacing w:val="1"/>
          <w:shd w:val="clear" w:color="auto" w:fill="FFFFFF"/>
        </w:rPr>
        <w:t>bad for the company’s long-term prospects.</w:t>
      </w:r>
    </w:p>
    <w:p w:rsidR="007C568A" w:rsidRDefault="00271673" w:rsidP="007C568A">
      <w:pPr>
        <w:pStyle w:val="ListParagraph"/>
        <w:rPr>
          <w:rFonts w:ascii="Arial" w:hAnsi="Arial" w:cs="Arial"/>
          <w:color w:val="000000"/>
        </w:rPr>
      </w:pPr>
      <w:r w:rsidRPr="00271673">
        <w:rPr>
          <w:rFonts w:ascii="Arial" w:hAnsi="Arial" w:cs="Arial"/>
          <w:color w:val="000000"/>
        </w:rPr>
        <w:t>Conflicts of interest may equally arise between other stakeholders – junior management, other employees, customers, suppliers, pensioners, and the state. Of particular interest is the potential for conflict between providers of finance, notably lenders (such as banks and bondholders) and the providers of equity capital (the shareholders).</w:t>
      </w:r>
      <w:r w:rsidRPr="00271673">
        <w:rPr>
          <w:rFonts w:ascii="Arial" w:hAnsi="Arial" w:cs="Arial"/>
          <w:color w:val="000000"/>
        </w:rPr>
        <w:t xml:space="preserve"> </w:t>
      </w:r>
      <w:r w:rsidRPr="00271673">
        <w:rPr>
          <w:rFonts w:ascii="Arial" w:hAnsi="Arial" w:cs="Arial"/>
          <w:color w:val="000000"/>
        </w:rPr>
        <w:t>One such is between a firm’s owners and its creditors. If managers substantially alter the riskiness of a firm’s product-market investment activities, this will benefit shareholders greatly (if the investments are successful). However, risky investments that fail will reduce the security of debt holders and reduce debt values. If a firm does not give strong assurances to debt holders that investment policies will not be changed to their disadvantage, it must pay interest rates high enough to compensate debt holders against the possibility of such adverse policy changes.</w:t>
      </w:r>
    </w:p>
    <w:p w:rsidR="007C568A" w:rsidRDefault="007C568A" w:rsidP="007C568A">
      <w:pPr>
        <w:pStyle w:val="ListParagraph"/>
        <w:rPr>
          <w:rFonts w:ascii="Arial" w:hAnsi="Arial" w:cs="Arial"/>
          <w:color w:val="000000"/>
        </w:rPr>
      </w:pPr>
    </w:p>
    <w:p w:rsidR="007C568A" w:rsidRPr="007C568A" w:rsidRDefault="00271673" w:rsidP="007C568A">
      <w:pPr>
        <w:pStyle w:val="ListParagraph"/>
        <w:numPr>
          <w:ilvl w:val="0"/>
          <w:numId w:val="1"/>
        </w:numPr>
        <w:rPr>
          <w:rFonts w:ascii="Arial" w:hAnsi="Arial" w:cs="Arial"/>
          <w:color w:val="000000"/>
        </w:rPr>
      </w:pPr>
      <w:r w:rsidRPr="007C568A">
        <w:rPr>
          <w:rFonts w:ascii="Arial" w:hAnsi="Arial" w:cs="Arial"/>
        </w:rPr>
        <w:t>Factors influencing the decision on dividend policy include:</w:t>
      </w:r>
    </w:p>
    <w:p w:rsidR="007C568A" w:rsidRPr="007C568A" w:rsidRDefault="007C568A" w:rsidP="007C568A">
      <w:pPr>
        <w:pStyle w:val="ListParagraph"/>
        <w:rPr>
          <w:rFonts w:ascii="Arial" w:hAnsi="Arial" w:cs="Arial"/>
          <w:color w:val="000000"/>
        </w:rPr>
      </w:pPr>
    </w:p>
    <w:p w:rsidR="00271673" w:rsidRPr="007C568A" w:rsidRDefault="00271673" w:rsidP="007C568A">
      <w:pPr>
        <w:pStyle w:val="ListParagraph"/>
        <w:numPr>
          <w:ilvl w:val="0"/>
          <w:numId w:val="11"/>
        </w:numPr>
        <w:autoSpaceDE w:val="0"/>
        <w:autoSpaceDN w:val="0"/>
        <w:adjustRightInd w:val="0"/>
        <w:spacing w:after="0" w:line="240" w:lineRule="auto"/>
        <w:rPr>
          <w:rFonts w:ascii="Arial" w:hAnsi="Arial" w:cs="Arial"/>
        </w:rPr>
      </w:pPr>
      <w:r w:rsidRPr="007C568A">
        <w:rPr>
          <w:rFonts w:ascii="Arial" w:hAnsi="Arial" w:cs="Arial"/>
        </w:rPr>
        <w:t>Companies should not retain profits if the rate of return they can achieve on re-investment is less than their</w:t>
      </w:r>
      <w:r w:rsidR="007C568A" w:rsidRPr="007C568A">
        <w:rPr>
          <w:rFonts w:ascii="Arial" w:hAnsi="Arial" w:cs="Arial"/>
        </w:rPr>
        <w:t xml:space="preserve"> i</w:t>
      </w:r>
      <w:r w:rsidRPr="007C568A">
        <w:rPr>
          <w:rFonts w:ascii="Arial" w:hAnsi="Arial" w:cs="Arial"/>
        </w:rPr>
        <w:t>nvestors’ required rate of return which will be determined in large part by the returns and risks relating to</w:t>
      </w:r>
      <w:r w:rsidR="007C568A" w:rsidRPr="007C568A">
        <w:rPr>
          <w:rFonts w:ascii="Arial" w:hAnsi="Arial" w:cs="Arial"/>
        </w:rPr>
        <w:t xml:space="preserve"> </w:t>
      </w:r>
      <w:r w:rsidRPr="007C568A">
        <w:rPr>
          <w:rFonts w:ascii="Arial" w:hAnsi="Arial" w:cs="Arial"/>
        </w:rPr>
        <w:t>alternative investment opportunities.</w:t>
      </w:r>
    </w:p>
    <w:p w:rsidR="00271673" w:rsidRPr="007C568A" w:rsidRDefault="00271673" w:rsidP="007C568A">
      <w:pPr>
        <w:pStyle w:val="ListParagraph"/>
        <w:numPr>
          <w:ilvl w:val="0"/>
          <w:numId w:val="11"/>
        </w:numPr>
        <w:autoSpaceDE w:val="0"/>
        <w:autoSpaceDN w:val="0"/>
        <w:adjustRightInd w:val="0"/>
        <w:spacing w:after="0" w:line="240" w:lineRule="auto"/>
        <w:rPr>
          <w:rFonts w:ascii="Arial" w:hAnsi="Arial" w:cs="Arial"/>
        </w:rPr>
      </w:pPr>
      <w:r w:rsidRPr="007C568A">
        <w:rPr>
          <w:rFonts w:ascii="Arial" w:hAnsi="Arial" w:cs="Arial"/>
        </w:rPr>
        <w:t>Stock markets display significant adverse reactions to announcements of dividend cuts. Managers therefore tend</w:t>
      </w:r>
      <w:r w:rsidR="007C568A" w:rsidRPr="007C568A">
        <w:rPr>
          <w:rFonts w:ascii="Arial" w:hAnsi="Arial" w:cs="Arial"/>
        </w:rPr>
        <w:t xml:space="preserve"> </w:t>
      </w:r>
      <w:r w:rsidRPr="007C568A">
        <w:rPr>
          <w:rFonts w:ascii="Arial" w:hAnsi="Arial" w:cs="Arial"/>
        </w:rPr>
        <w:t>to conservatism in good years, particularly in cyclical industries and for smaller companies (especially those that</w:t>
      </w:r>
      <w:r w:rsidR="007C568A" w:rsidRPr="007C568A">
        <w:rPr>
          <w:rFonts w:ascii="Arial" w:hAnsi="Arial" w:cs="Arial"/>
        </w:rPr>
        <w:t xml:space="preserve"> </w:t>
      </w:r>
      <w:r w:rsidRPr="007C568A">
        <w:rPr>
          <w:rFonts w:ascii="Arial" w:hAnsi="Arial" w:cs="Arial"/>
        </w:rPr>
        <w:t>are new to the market).</w:t>
      </w:r>
    </w:p>
    <w:p w:rsidR="00271673" w:rsidRPr="007C568A" w:rsidRDefault="00271673" w:rsidP="007C568A">
      <w:pPr>
        <w:pStyle w:val="ListParagraph"/>
        <w:numPr>
          <w:ilvl w:val="0"/>
          <w:numId w:val="11"/>
        </w:numPr>
        <w:autoSpaceDE w:val="0"/>
        <w:autoSpaceDN w:val="0"/>
        <w:adjustRightInd w:val="0"/>
        <w:spacing w:after="0" w:line="240" w:lineRule="auto"/>
        <w:rPr>
          <w:rFonts w:ascii="Arial" w:hAnsi="Arial" w:cs="Arial"/>
        </w:rPr>
      </w:pPr>
      <w:r w:rsidRPr="007C568A">
        <w:rPr>
          <w:rFonts w:ascii="Arial" w:hAnsi="Arial" w:cs="Arial"/>
        </w:rPr>
        <w:t>Companies with large cash reserves that fear a takeover bid may well distribute generously to both encourage</w:t>
      </w:r>
      <w:r w:rsidR="007C568A" w:rsidRPr="007C568A">
        <w:rPr>
          <w:rFonts w:ascii="Arial" w:hAnsi="Arial" w:cs="Arial"/>
        </w:rPr>
        <w:t xml:space="preserve"> </w:t>
      </w:r>
      <w:r w:rsidRPr="007C568A">
        <w:rPr>
          <w:rFonts w:ascii="Arial" w:hAnsi="Arial" w:cs="Arial"/>
        </w:rPr>
        <w:t>shareholder loyalty and limit the size of the ‘cash pile’.</w:t>
      </w:r>
    </w:p>
    <w:p w:rsidR="00271673" w:rsidRPr="007C568A" w:rsidRDefault="00271673" w:rsidP="007C568A">
      <w:pPr>
        <w:pStyle w:val="ListParagraph"/>
        <w:numPr>
          <w:ilvl w:val="0"/>
          <w:numId w:val="11"/>
        </w:numPr>
        <w:autoSpaceDE w:val="0"/>
        <w:autoSpaceDN w:val="0"/>
        <w:adjustRightInd w:val="0"/>
        <w:spacing w:after="0" w:line="240" w:lineRule="auto"/>
        <w:rPr>
          <w:rFonts w:ascii="Arial" w:hAnsi="Arial" w:cs="Arial"/>
        </w:rPr>
      </w:pPr>
      <w:r w:rsidRPr="007C568A">
        <w:rPr>
          <w:rFonts w:ascii="Arial" w:hAnsi="Arial" w:cs="Arial"/>
        </w:rPr>
        <w:lastRenderedPageBreak/>
        <w:t>Companies with a large proportion of non-taxpaying shareholders may feel it appropriate to distribute a large</w:t>
      </w:r>
      <w:r w:rsidR="007C568A" w:rsidRPr="007C568A">
        <w:rPr>
          <w:rFonts w:ascii="Arial" w:hAnsi="Arial" w:cs="Arial"/>
        </w:rPr>
        <w:t xml:space="preserve"> </w:t>
      </w:r>
      <w:r w:rsidRPr="007C568A">
        <w:rPr>
          <w:rFonts w:ascii="Arial" w:hAnsi="Arial" w:cs="Arial"/>
        </w:rPr>
        <w:t>proportion of earnings.</w:t>
      </w:r>
    </w:p>
    <w:p w:rsidR="00271673" w:rsidRPr="007C568A" w:rsidRDefault="00271673" w:rsidP="007C568A">
      <w:pPr>
        <w:pStyle w:val="ListParagraph"/>
        <w:numPr>
          <w:ilvl w:val="0"/>
          <w:numId w:val="11"/>
        </w:numPr>
        <w:autoSpaceDE w:val="0"/>
        <w:autoSpaceDN w:val="0"/>
        <w:adjustRightInd w:val="0"/>
        <w:spacing w:after="0" w:line="240" w:lineRule="auto"/>
        <w:rPr>
          <w:rFonts w:ascii="Arial" w:hAnsi="Arial" w:cs="Arial"/>
        </w:rPr>
      </w:pPr>
      <w:r w:rsidRPr="007C568A">
        <w:rPr>
          <w:rFonts w:ascii="Arial" w:hAnsi="Arial" w:cs="Arial"/>
        </w:rPr>
        <w:t>Companies in high-growth industries may find that the demands for capital investment to maintain competitive</w:t>
      </w:r>
      <w:r w:rsidR="007C568A" w:rsidRPr="007C568A">
        <w:rPr>
          <w:rFonts w:ascii="Arial" w:hAnsi="Arial" w:cs="Arial"/>
        </w:rPr>
        <w:t xml:space="preserve"> </w:t>
      </w:r>
      <w:r w:rsidRPr="007C568A">
        <w:rPr>
          <w:rFonts w:ascii="Arial" w:hAnsi="Arial" w:cs="Arial"/>
        </w:rPr>
        <w:t>advantage exceed their capacity to borrow on satisfactory terms and may prefer to pay low dividends rather than</w:t>
      </w:r>
      <w:r w:rsidR="007C568A" w:rsidRPr="007C568A">
        <w:rPr>
          <w:rFonts w:ascii="Arial" w:hAnsi="Arial" w:cs="Arial"/>
        </w:rPr>
        <w:t xml:space="preserve"> </w:t>
      </w:r>
      <w:r w:rsidRPr="007C568A">
        <w:rPr>
          <w:rFonts w:ascii="Arial" w:hAnsi="Arial" w:cs="Arial"/>
        </w:rPr>
        <w:t>making frequent rights issues.</w:t>
      </w:r>
    </w:p>
    <w:p w:rsidR="007C568A" w:rsidRPr="007C568A" w:rsidRDefault="00271673" w:rsidP="007C568A">
      <w:pPr>
        <w:pStyle w:val="ListParagraph"/>
        <w:numPr>
          <w:ilvl w:val="0"/>
          <w:numId w:val="11"/>
        </w:numPr>
        <w:autoSpaceDE w:val="0"/>
        <w:autoSpaceDN w:val="0"/>
        <w:adjustRightInd w:val="0"/>
        <w:spacing w:after="0" w:line="240" w:lineRule="auto"/>
        <w:rPr>
          <w:rFonts w:ascii="Arial" w:hAnsi="Arial" w:cs="Arial"/>
        </w:rPr>
      </w:pPr>
      <w:r w:rsidRPr="007C568A">
        <w:rPr>
          <w:rFonts w:ascii="Arial" w:hAnsi="Arial" w:cs="Arial"/>
        </w:rPr>
        <w:t>Since companies with high dividend policies tend to attract investors who seek high payouts (and similarly for low</w:t>
      </w:r>
      <w:r w:rsidR="007C568A" w:rsidRPr="007C568A">
        <w:rPr>
          <w:rFonts w:ascii="Arial" w:hAnsi="Arial" w:cs="Arial"/>
        </w:rPr>
        <w:t xml:space="preserve"> </w:t>
      </w:r>
      <w:r w:rsidRPr="007C568A">
        <w:rPr>
          <w:rFonts w:ascii="Arial" w:hAnsi="Arial" w:cs="Arial"/>
        </w:rPr>
        <w:t>dividend policies and preferences), any move from one category to the other will cause adverse market reaction as</w:t>
      </w:r>
      <w:r w:rsidR="007C568A" w:rsidRPr="007C568A">
        <w:rPr>
          <w:rFonts w:ascii="Arial" w:hAnsi="Arial" w:cs="Arial"/>
        </w:rPr>
        <w:t xml:space="preserve"> </w:t>
      </w:r>
      <w:r w:rsidRPr="007C568A">
        <w:rPr>
          <w:rFonts w:ascii="Arial" w:hAnsi="Arial" w:cs="Arial"/>
        </w:rPr>
        <w:t>investors readjust their portfolios.</w:t>
      </w:r>
    </w:p>
    <w:p w:rsidR="007C568A" w:rsidRDefault="00271673" w:rsidP="007C568A">
      <w:pPr>
        <w:pStyle w:val="ListParagraph"/>
        <w:numPr>
          <w:ilvl w:val="0"/>
          <w:numId w:val="11"/>
        </w:numPr>
        <w:autoSpaceDE w:val="0"/>
        <w:autoSpaceDN w:val="0"/>
        <w:adjustRightInd w:val="0"/>
        <w:spacing w:after="0" w:line="240" w:lineRule="auto"/>
        <w:rPr>
          <w:rFonts w:ascii="Arial" w:hAnsi="Arial" w:cs="Arial"/>
        </w:rPr>
      </w:pPr>
      <w:r w:rsidRPr="007C568A">
        <w:rPr>
          <w:rFonts w:ascii="Arial" w:hAnsi="Arial" w:cs="Arial"/>
        </w:rPr>
        <w:t xml:space="preserve">A change of dividend policy can have significant repercussions for a </w:t>
      </w:r>
      <w:r w:rsidR="007C568A" w:rsidRPr="007C568A">
        <w:rPr>
          <w:rFonts w:ascii="Arial" w:hAnsi="Arial" w:cs="Arial"/>
        </w:rPr>
        <w:t xml:space="preserve">company’s market rating and its </w:t>
      </w:r>
      <w:r w:rsidRPr="007C568A">
        <w:rPr>
          <w:rFonts w:ascii="Arial" w:hAnsi="Arial" w:cs="Arial"/>
        </w:rPr>
        <w:t>capacity to</w:t>
      </w:r>
      <w:r w:rsidR="007C568A" w:rsidRPr="007C568A">
        <w:rPr>
          <w:rFonts w:ascii="Arial" w:hAnsi="Arial" w:cs="Arial"/>
        </w:rPr>
        <w:t xml:space="preserve"> </w:t>
      </w:r>
      <w:r w:rsidR="007C568A">
        <w:rPr>
          <w:rFonts w:ascii="Arial" w:hAnsi="Arial" w:cs="Arial"/>
        </w:rPr>
        <w:t>raise finance.</w:t>
      </w:r>
    </w:p>
    <w:p w:rsidR="007C568A" w:rsidRDefault="007C568A" w:rsidP="007C568A">
      <w:pPr>
        <w:autoSpaceDE w:val="0"/>
        <w:autoSpaceDN w:val="0"/>
        <w:adjustRightInd w:val="0"/>
        <w:spacing w:after="0" w:line="240" w:lineRule="auto"/>
        <w:rPr>
          <w:rFonts w:ascii="Arial" w:hAnsi="Arial" w:cs="Arial"/>
          <w:spacing w:val="1"/>
          <w:shd w:val="clear" w:color="auto" w:fill="FFFFFF"/>
        </w:rPr>
      </w:pPr>
    </w:p>
    <w:p w:rsidR="004F6760" w:rsidRPr="007C568A" w:rsidRDefault="004F6760" w:rsidP="007C568A">
      <w:pPr>
        <w:pStyle w:val="ListParagraph"/>
        <w:numPr>
          <w:ilvl w:val="0"/>
          <w:numId w:val="1"/>
        </w:numPr>
        <w:autoSpaceDE w:val="0"/>
        <w:autoSpaceDN w:val="0"/>
        <w:adjustRightInd w:val="0"/>
        <w:spacing w:after="0" w:line="240" w:lineRule="auto"/>
        <w:rPr>
          <w:rFonts w:ascii="Arial" w:hAnsi="Arial" w:cs="Arial"/>
        </w:rPr>
      </w:pPr>
    </w:p>
    <w:tbl>
      <w:tblPr>
        <w:tblStyle w:val="TableGrid"/>
        <w:tblW w:w="0" w:type="auto"/>
        <w:tblInd w:w="720" w:type="dxa"/>
        <w:tblLook w:val="04A0" w:firstRow="1" w:lastRow="0" w:firstColumn="1" w:lastColumn="0" w:noHBand="0" w:noVBand="1"/>
      </w:tblPr>
      <w:tblGrid>
        <w:gridCol w:w="2178"/>
        <w:gridCol w:w="2147"/>
        <w:gridCol w:w="2158"/>
        <w:gridCol w:w="2147"/>
      </w:tblGrid>
      <w:tr w:rsidR="004F6760" w:rsidTr="002E5ED4">
        <w:tc>
          <w:tcPr>
            <w:tcW w:w="2337" w:type="dxa"/>
          </w:tcPr>
          <w:p w:rsidR="002E5ED4" w:rsidRDefault="002E5ED4" w:rsidP="002E5ED4">
            <w:pPr>
              <w:rPr>
                <w:rFonts w:cstheme="minorHAnsi"/>
                <w:spacing w:val="1"/>
                <w:shd w:val="clear" w:color="auto" w:fill="FFFFFF"/>
              </w:rPr>
            </w:pPr>
            <w:r w:rsidRPr="002E5ED4">
              <w:rPr>
                <w:rFonts w:cstheme="minorHAnsi"/>
                <w:spacing w:val="1"/>
                <w:shd w:val="clear" w:color="auto" w:fill="FFFFFF"/>
              </w:rPr>
              <w:t>Sole Proprietorship / Trader</w:t>
            </w:r>
          </w:p>
        </w:tc>
        <w:tc>
          <w:tcPr>
            <w:tcW w:w="2337" w:type="dxa"/>
          </w:tcPr>
          <w:p w:rsidR="002E5ED4" w:rsidRPr="002E5ED4" w:rsidRDefault="002E5ED4" w:rsidP="002E5ED4">
            <w:pPr>
              <w:rPr>
                <w:rFonts w:cstheme="minorHAnsi"/>
                <w:spacing w:val="1"/>
                <w:shd w:val="clear" w:color="auto" w:fill="FFFFFF"/>
              </w:rPr>
            </w:pPr>
            <w:r w:rsidRPr="002E5ED4">
              <w:rPr>
                <w:rFonts w:cstheme="minorHAnsi"/>
                <w:spacing w:val="1"/>
                <w:shd w:val="clear" w:color="auto" w:fill="FFFFFF"/>
              </w:rPr>
              <w:t>Partnership Firm</w:t>
            </w:r>
          </w:p>
          <w:p w:rsidR="002E5ED4" w:rsidRDefault="002E5ED4" w:rsidP="002E5ED4">
            <w:pPr>
              <w:pStyle w:val="ListParagraph"/>
              <w:ind w:left="0"/>
              <w:rPr>
                <w:rFonts w:cstheme="minorHAnsi"/>
                <w:spacing w:val="1"/>
                <w:shd w:val="clear" w:color="auto" w:fill="FFFFFF"/>
              </w:rPr>
            </w:pPr>
          </w:p>
        </w:tc>
        <w:tc>
          <w:tcPr>
            <w:tcW w:w="2338" w:type="dxa"/>
          </w:tcPr>
          <w:p w:rsidR="002E5ED4" w:rsidRPr="002E5ED4" w:rsidRDefault="002E5ED4" w:rsidP="002E5ED4">
            <w:pPr>
              <w:rPr>
                <w:rFonts w:cstheme="minorHAnsi"/>
                <w:spacing w:val="1"/>
                <w:shd w:val="clear" w:color="auto" w:fill="FFFFFF"/>
              </w:rPr>
            </w:pPr>
            <w:r w:rsidRPr="002E5ED4">
              <w:rPr>
                <w:rFonts w:cstheme="minorHAnsi"/>
                <w:spacing w:val="1"/>
                <w:shd w:val="clear" w:color="auto" w:fill="FFFFFF"/>
              </w:rPr>
              <w:t xml:space="preserve"> Limited Company</w:t>
            </w:r>
          </w:p>
          <w:p w:rsidR="002E5ED4" w:rsidRDefault="002E5ED4" w:rsidP="002E5ED4">
            <w:pPr>
              <w:pStyle w:val="ListParagraph"/>
              <w:ind w:left="0"/>
              <w:rPr>
                <w:rFonts w:cstheme="minorHAnsi"/>
                <w:spacing w:val="1"/>
                <w:shd w:val="clear" w:color="auto" w:fill="FFFFFF"/>
              </w:rPr>
            </w:pPr>
          </w:p>
        </w:tc>
        <w:tc>
          <w:tcPr>
            <w:tcW w:w="2338" w:type="dxa"/>
          </w:tcPr>
          <w:p w:rsidR="002E5ED4" w:rsidRDefault="002E5ED4" w:rsidP="002E5ED4">
            <w:pPr>
              <w:pStyle w:val="ListParagraph"/>
              <w:ind w:left="0"/>
              <w:rPr>
                <w:rFonts w:cstheme="minorHAnsi"/>
                <w:spacing w:val="1"/>
                <w:shd w:val="clear" w:color="auto" w:fill="FFFFFF"/>
              </w:rPr>
            </w:pPr>
            <w:r w:rsidRPr="002E5ED4">
              <w:rPr>
                <w:rFonts w:cstheme="minorHAnsi"/>
                <w:spacing w:val="1"/>
                <w:shd w:val="clear" w:color="auto" w:fill="FFFFFF"/>
              </w:rPr>
              <w:t xml:space="preserve"> Limited Liability Partnership</w:t>
            </w:r>
          </w:p>
        </w:tc>
      </w:tr>
      <w:tr w:rsidR="004F6760" w:rsidTr="002E5ED4">
        <w:tc>
          <w:tcPr>
            <w:tcW w:w="2337" w:type="dxa"/>
          </w:tcPr>
          <w:p w:rsidR="002E5ED4" w:rsidRDefault="004F6760" w:rsidP="002E5ED4">
            <w:pPr>
              <w:pStyle w:val="ListParagraph"/>
              <w:ind w:left="0"/>
              <w:rPr>
                <w:rFonts w:cstheme="minorHAnsi"/>
                <w:spacing w:val="1"/>
                <w:shd w:val="clear" w:color="auto" w:fill="FFFFFF"/>
              </w:rPr>
            </w:pPr>
            <w:r>
              <w:rPr>
                <w:rFonts w:cstheme="minorHAnsi"/>
                <w:spacing w:val="1"/>
                <w:shd w:val="clear" w:color="auto" w:fill="FFFFFF"/>
              </w:rPr>
              <w:t>O</w:t>
            </w:r>
            <w:r w:rsidR="002E5ED4" w:rsidRPr="002E5ED4">
              <w:rPr>
                <w:rFonts w:cstheme="minorHAnsi"/>
                <w:spacing w:val="1"/>
                <w:shd w:val="clear" w:color="auto" w:fill="FFFFFF"/>
              </w:rPr>
              <w:t>wned by 1 person</w:t>
            </w:r>
          </w:p>
        </w:tc>
        <w:tc>
          <w:tcPr>
            <w:tcW w:w="2337" w:type="dxa"/>
          </w:tcPr>
          <w:p w:rsidR="002E5ED4" w:rsidRDefault="004F6760" w:rsidP="002E5ED4">
            <w:pPr>
              <w:pStyle w:val="ListParagraph"/>
              <w:ind w:left="0"/>
              <w:rPr>
                <w:rFonts w:cstheme="minorHAnsi"/>
                <w:spacing w:val="1"/>
                <w:shd w:val="clear" w:color="auto" w:fill="FFFFFF"/>
              </w:rPr>
            </w:pPr>
            <w:r>
              <w:rPr>
                <w:rFonts w:cstheme="minorHAnsi"/>
                <w:spacing w:val="1"/>
                <w:shd w:val="clear" w:color="auto" w:fill="FFFFFF"/>
              </w:rPr>
              <w:t>O</w:t>
            </w:r>
            <w:r w:rsidR="002E5ED4" w:rsidRPr="002E5ED4">
              <w:rPr>
                <w:rFonts w:cstheme="minorHAnsi"/>
                <w:spacing w:val="1"/>
                <w:shd w:val="clear" w:color="auto" w:fill="FFFFFF"/>
              </w:rPr>
              <w:t>wned by 2 or more persons</w:t>
            </w:r>
          </w:p>
        </w:tc>
        <w:tc>
          <w:tcPr>
            <w:tcW w:w="2338" w:type="dxa"/>
          </w:tcPr>
          <w:p w:rsidR="002E5ED4" w:rsidRDefault="004F6760" w:rsidP="002E5ED4">
            <w:pPr>
              <w:pStyle w:val="ListParagraph"/>
              <w:ind w:left="0"/>
              <w:rPr>
                <w:rFonts w:cstheme="minorHAnsi"/>
                <w:spacing w:val="1"/>
                <w:shd w:val="clear" w:color="auto" w:fill="FFFFFF"/>
              </w:rPr>
            </w:pPr>
            <w:r>
              <w:rPr>
                <w:rFonts w:cstheme="minorHAnsi"/>
                <w:spacing w:val="1"/>
                <w:shd w:val="clear" w:color="auto" w:fill="FFFFFF"/>
              </w:rPr>
              <w:t>O</w:t>
            </w:r>
            <w:r w:rsidRPr="002E5ED4">
              <w:rPr>
                <w:rFonts w:cstheme="minorHAnsi"/>
                <w:spacing w:val="1"/>
                <w:shd w:val="clear" w:color="auto" w:fill="FFFFFF"/>
              </w:rPr>
              <w:t>wned by</w:t>
            </w:r>
            <w:r>
              <w:rPr>
                <w:rFonts w:cstheme="minorHAnsi"/>
                <w:spacing w:val="1"/>
                <w:shd w:val="clear" w:color="auto" w:fill="FFFFFF"/>
              </w:rPr>
              <w:t xml:space="preserve"> At least 1 member</w:t>
            </w:r>
          </w:p>
        </w:tc>
        <w:tc>
          <w:tcPr>
            <w:tcW w:w="2338" w:type="dxa"/>
          </w:tcPr>
          <w:p w:rsidR="002E5ED4" w:rsidRDefault="004F6760" w:rsidP="002E5ED4">
            <w:pPr>
              <w:pStyle w:val="ListParagraph"/>
              <w:ind w:left="0"/>
              <w:rPr>
                <w:rFonts w:cstheme="minorHAnsi"/>
                <w:spacing w:val="1"/>
                <w:shd w:val="clear" w:color="auto" w:fill="FFFFFF"/>
              </w:rPr>
            </w:pPr>
            <w:r>
              <w:rPr>
                <w:rFonts w:cstheme="minorHAnsi"/>
                <w:spacing w:val="1"/>
                <w:shd w:val="clear" w:color="auto" w:fill="FFFFFF"/>
              </w:rPr>
              <w:t>O</w:t>
            </w:r>
            <w:r w:rsidRPr="002E5ED4">
              <w:rPr>
                <w:rFonts w:cstheme="minorHAnsi"/>
                <w:spacing w:val="1"/>
                <w:shd w:val="clear" w:color="auto" w:fill="FFFFFF"/>
              </w:rPr>
              <w:t>wned by</w:t>
            </w:r>
            <w:r w:rsidRPr="002E5ED4">
              <w:rPr>
                <w:rFonts w:cstheme="minorHAnsi"/>
                <w:spacing w:val="1"/>
                <w:shd w:val="clear" w:color="auto" w:fill="FFFFFF"/>
              </w:rPr>
              <w:t xml:space="preserve"> </w:t>
            </w:r>
            <w:r w:rsidR="002E5ED4" w:rsidRPr="002E5ED4">
              <w:rPr>
                <w:rFonts w:cstheme="minorHAnsi"/>
                <w:spacing w:val="1"/>
                <w:shd w:val="clear" w:color="auto" w:fill="FFFFFF"/>
              </w:rPr>
              <w:t>2 or more members</w:t>
            </w:r>
          </w:p>
        </w:tc>
      </w:tr>
      <w:tr w:rsidR="004F6760" w:rsidTr="002E5ED4">
        <w:tc>
          <w:tcPr>
            <w:tcW w:w="2337" w:type="dxa"/>
          </w:tcPr>
          <w:p w:rsidR="002E5ED4" w:rsidRDefault="004F6760" w:rsidP="002E5ED4">
            <w:pPr>
              <w:pStyle w:val="ListParagraph"/>
              <w:ind w:left="0"/>
              <w:rPr>
                <w:rFonts w:cstheme="minorHAnsi"/>
                <w:spacing w:val="1"/>
                <w:shd w:val="clear" w:color="auto" w:fill="FFFFFF"/>
              </w:rPr>
            </w:pPr>
            <w:r w:rsidRPr="002E5ED4">
              <w:rPr>
                <w:rFonts w:cstheme="minorHAnsi"/>
                <w:spacing w:val="1"/>
                <w:shd w:val="clear" w:color="auto" w:fill="FFFFFF"/>
              </w:rPr>
              <w:t xml:space="preserve">Members have </w:t>
            </w:r>
            <w:r>
              <w:rPr>
                <w:rFonts w:cstheme="minorHAnsi"/>
                <w:spacing w:val="1"/>
                <w:shd w:val="clear" w:color="auto" w:fill="FFFFFF"/>
              </w:rPr>
              <w:t xml:space="preserve"> </w:t>
            </w:r>
            <w:r w:rsidR="002E5ED4" w:rsidRPr="002E5ED4">
              <w:rPr>
                <w:rFonts w:cstheme="minorHAnsi"/>
                <w:spacing w:val="1"/>
                <w:shd w:val="clear" w:color="auto" w:fill="FFFFFF"/>
              </w:rPr>
              <w:t>Unlimited Liability</w:t>
            </w:r>
          </w:p>
        </w:tc>
        <w:tc>
          <w:tcPr>
            <w:tcW w:w="2337" w:type="dxa"/>
          </w:tcPr>
          <w:p w:rsidR="002E5ED4" w:rsidRDefault="004F6760" w:rsidP="002E5ED4">
            <w:pPr>
              <w:pStyle w:val="ListParagraph"/>
              <w:ind w:left="0"/>
              <w:rPr>
                <w:rFonts w:cstheme="minorHAnsi"/>
                <w:spacing w:val="1"/>
                <w:shd w:val="clear" w:color="auto" w:fill="FFFFFF"/>
              </w:rPr>
            </w:pPr>
            <w:r w:rsidRPr="002E5ED4">
              <w:rPr>
                <w:rFonts w:cstheme="minorHAnsi"/>
                <w:spacing w:val="1"/>
                <w:shd w:val="clear" w:color="auto" w:fill="FFFFFF"/>
              </w:rPr>
              <w:t xml:space="preserve">Members have </w:t>
            </w:r>
            <w:r>
              <w:rPr>
                <w:rFonts w:cstheme="minorHAnsi"/>
                <w:spacing w:val="1"/>
                <w:shd w:val="clear" w:color="auto" w:fill="FFFFFF"/>
              </w:rPr>
              <w:t xml:space="preserve"> </w:t>
            </w:r>
            <w:r w:rsidR="002E5ED4" w:rsidRPr="002E5ED4">
              <w:rPr>
                <w:rFonts w:cstheme="minorHAnsi"/>
                <w:spacing w:val="1"/>
                <w:shd w:val="clear" w:color="auto" w:fill="FFFFFF"/>
              </w:rPr>
              <w:t>Unlimited Liability</w:t>
            </w:r>
          </w:p>
        </w:tc>
        <w:tc>
          <w:tcPr>
            <w:tcW w:w="2338" w:type="dxa"/>
          </w:tcPr>
          <w:p w:rsidR="002E5ED4" w:rsidRDefault="002E5ED4" w:rsidP="002E5ED4">
            <w:pPr>
              <w:pStyle w:val="ListParagraph"/>
              <w:ind w:left="0"/>
              <w:rPr>
                <w:rFonts w:cstheme="minorHAnsi"/>
                <w:spacing w:val="1"/>
                <w:shd w:val="clear" w:color="auto" w:fill="FFFFFF"/>
              </w:rPr>
            </w:pPr>
            <w:r w:rsidRPr="002E5ED4">
              <w:rPr>
                <w:rFonts w:cstheme="minorHAnsi"/>
                <w:spacing w:val="1"/>
                <w:shd w:val="clear" w:color="auto" w:fill="FFFFFF"/>
              </w:rPr>
              <w:t>Limited Liability to the Investment Amount</w:t>
            </w:r>
          </w:p>
        </w:tc>
        <w:tc>
          <w:tcPr>
            <w:tcW w:w="2338" w:type="dxa"/>
          </w:tcPr>
          <w:p w:rsidR="002E5ED4" w:rsidRDefault="002E5ED4" w:rsidP="002E5ED4">
            <w:pPr>
              <w:pStyle w:val="ListParagraph"/>
              <w:ind w:left="0"/>
              <w:rPr>
                <w:rFonts w:cstheme="minorHAnsi"/>
                <w:spacing w:val="1"/>
                <w:shd w:val="clear" w:color="auto" w:fill="FFFFFF"/>
              </w:rPr>
            </w:pPr>
            <w:r w:rsidRPr="002E5ED4">
              <w:rPr>
                <w:rFonts w:cstheme="minorHAnsi"/>
                <w:spacing w:val="1"/>
                <w:shd w:val="clear" w:color="auto" w:fill="FFFFFF"/>
              </w:rPr>
              <w:t>Members have Limited Liability</w:t>
            </w:r>
          </w:p>
        </w:tc>
      </w:tr>
      <w:tr w:rsidR="004F6760" w:rsidTr="002E5ED4">
        <w:tc>
          <w:tcPr>
            <w:tcW w:w="2337" w:type="dxa"/>
          </w:tcPr>
          <w:p w:rsidR="002E5ED4" w:rsidRDefault="002E5ED4" w:rsidP="007A161A">
            <w:pPr>
              <w:rPr>
                <w:rFonts w:cstheme="minorHAnsi"/>
                <w:spacing w:val="1"/>
                <w:shd w:val="clear" w:color="auto" w:fill="FFFFFF"/>
              </w:rPr>
            </w:pPr>
            <w:r>
              <w:rPr>
                <w:rFonts w:cstheme="minorHAnsi"/>
                <w:spacing w:val="1"/>
                <w:shd w:val="clear" w:color="auto" w:fill="FFFFFF"/>
              </w:rPr>
              <w:t xml:space="preserve">No legal documentation </w:t>
            </w:r>
            <w:r w:rsidRPr="002E5ED4">
              <w:rPr>
                <w:rFonts w:cstheme="minorHAnsi"/>
                <w:spacing w:val="1"/>
                <w:shd w:val="clear" w:color="auto" w:fill="FFFFFF"/>
              </w:rPr>
              <w:t>required but need to file timely tax filings</w:t>
            </w:r>
            <w:r w:rsidR="004F6760">
              <w:rPr>
                <w:rFonts w:cstheme="minorHAnsi"/>
                <w:spacing w:val="1"/>
                <w:shd w:val="clear" w:color="auto" w:fill="FFFFFF"/>
              </w:rPr>
              <w:t>.</w:t>
            </w:r>
          </w:p>
        </w:tc>
        <w:tc>
          <w:tcPr>
            <w:tcW w:w="2337" w:type="dxa"/>
          </w:tcPr>
          <w:p w:rsidR="002E5ED4" w:rsidRDefault="004F6760" w:rsidP="007A161A">
            <w:pPr>
              <w:rPr>
                <w:rFonts w:cstheme="minorHAnsi"/>
                <w:spacing w:val="1"/>
                <w:shd w:val="clear" w:color="auto" w:fill="FFFFFF"/>
              </w:rPr>
            </w:pPr>
            <w:r w:rsidRPr="004F6760">
              <w:rPr>
                <w:rFonts w:cstheme="minorHAnsi"/>
                <w:spacing w:val="1"/>
                <w:shd w:val="clear" w:color="auto" w:fill="FFFFFF"/>
              </w:rPr>
              <w:t>Partnership Deed between members to</w:t>
            </w:r>
            <w:r>
              <w:rPr>
                <w:rFonts w:cstheme="minorHAnsi"/>
                <w:spacing w:val="1"/>
                <w:shd w:val="clear" w:color="auto" w:fill="FFFFFF"/>
              </w:rPr>
              <w:t xml:space="preserve"> define the overall business </w:t>
            </w:r>
            <w:r w:rsidRPr="004F6760">
              <w:rPr>
                <w:rFonts w:cstheme="minorHAnsi"/>
                <w:spacing w:val="1"/>
                <w:shd w:val="clear" w:color="auto" w:fill="FFFFFF"/>
              </w:rPr>
              <w:t>arrangement-rights and duties of partners, term, PSR</w:t>
            </w:r>
            <w:r>
              <w:rPr>
                <w:rFonts w:cstheme="minorHAnsi"/>
                <w:spacing w:val="1"/>
                <w:shd w:val="clear" w:color="auto" w:fill="FFFFFF"/>
              </w:rPr>
              <w:t>.</w:t>
            </w:r>
          </w:p>
        </w:tc>
        <w:tc>
          <w:tcPr>
            <w:tcW w:w="2338" w:type="dxa"/>
          </w:tcPr>
          <w:p w:rsidR="002E5ED4" w:rsidRDefault="002E5ED4" w:rsidP="002E5ED4">
            <w:pPr>
              <w:pStyle w:val="ListParagraph"/>
              <w:ind w:left="0"/>
              <w:rPr>
                <w:rFonts w:cstheme="minorHAnsi"/>
                <w:spacing w:val="1"/>
                <w:shd w:val="clear" w:color="auto" w:fill="FFFFFF"/>
              </w:rPr>
            </w:pPr>
            <w:r w:rsidRPr="002E5ED4">
              <w:rPr>
                <w:rFonts w:cstheme="minorHAnsi"/>
                <w:spacing w:val="1"/>
                <w:shd w:val="clear" w:color="auto" w:fill="FFFFFF"/>
              </w:rPr>
              <w:t>Separate Legal Identity</w:t>
            </w:r>
            <w:r w:rsidR="004F6760">
              <w:rPr>
                <w:rFonts w:cstheme="minorHAnsi"/>
                <w:spacing w:val="1"/>
                <w:shd w:val="clear" w:color="auto" w:fill="FFFFFF"/>
              </w:rPr>
              <w:t>.</w:t>
            </w:r>
          </w:p>
          <w:p w:rsidR="002E5ED4" w:rsidRDefault="002E5ED4" w:rsidP="002E5ED4">
            <w:pPr>
              <w:rPr>
                <w:rFonts w:cstheme="minorHAnsi"/>
                <w:spacing w:val="1"/>
                <w:shd w:val="clear" w:color="auto" w:fill="FFFFFF"/>
              </w:rPr>
            </w:pPr>
            <w:r w:rsidRPr="002E5ED4">
              <w:rPr>
                <w:rFonts w:cstheme="minorHAnsi"/>
                <w:spacing w:val="1"/>
                <w:shd w:val="clear" w:color="auto" w:fill="FFFFFF"/>
              </w:rPr>
              <w:t>Legal</w:t>
            </w:r>
            <w:r>
              <w:rPr>
                <w:rFonts w:cstheme="minorHAnsi"/>
                <w:spacing w:val="1"/>
                <w:shd w:val="clear" w:color="auto" w:fill="FFFFFF"/>
              </w:rPr>
              <w:t xml:space="preserve"> documents required like– MOA, </w:t>
            </w:r>
            <w:r w:rsidRPr="002E5ED4">
              <w:rPr>
                <w:rFonts w:cstheme="minorHAnsi"/>
                <w:spacing w:val="1"/>
                <w:shd w:val="clear" w:color="auto" w:fill="FFFFFF"/>
              </w:rPr>
              <w:t xml:space="preserve">AOA, </w:t>
            </w:r>
            <w:r w:rsidR="007A161A" w:rsidRPr="002E5ED4">
              <w:rPr>
                <w:rFonts w:cstheme="minorHAnsi"/>
                <w:spacing w:val="1"/>
                <w:shd w:val="clear" w:color="auto" w:fill="FFFFFF"/>
              </w:rPr>
              <w:t>and Cert</w:t>
            </w:r>
            <w:r w:rsidRPr="002E5ED4">
              <w:rPr>
                <w:rFonts w:cstheme="minorHAnsi"/>
                <w:spacing w:val="1"/>
                <w:shd w:val="clear" w:color="auto" w:fill="FFFFFF"/>
              </w:rPr>
              <w:t xml:space="preserve"> of Incorporation</w:t>
            </w:r>
            <w:r w:rsidR="004F6760">
              <w:rPr>
                <w:rFonts w:cstheme="minorHAnsi"/>
                <w:spacing w:val="1"/>
                <w:shd w:val="clear" w:color="auto" w:fill="FFFFFF"/>
              </w:rPr>
              <w:t>.</w:t>
            </w:r>
          </w:p>
        </w:tc>
        <w:tc>
          <w:tcPr>
            <w:tcW w:w="2338" w:type="dxa"/>
          </w:tcPr>
          <w:p w:rsidR="002E5ED4" w:rsidRDefault="002E5ED4" w:rsidP="002E5ED4">
            <w:pPr>
              <w:pStyle w:val="ListParagraph"/>
              <w:ind w:left="0"/>
              <w:rPr>
                <w:rFonts w:cstheme="minorHAnsi"/>
                <w:spacing w:val="1"/>
                <w:shd w:val="clear" w:color="auto" w:fill="FFFFFF"/>
              </w:rPr>
            </w:pPr>
            <w:r w:rsidRPr="002E5ED4">
              <w:rPr>
                <w:rFonts w:cstheme="minorHAnsi"/>
                <w:spacing w:val="1"/>
                <w:shd w:val="clear" w:color="auto" w:fill="FFFFFF"/>
              </w:rPr>
              <w:t>Separate Legal Entity</w:t>
            </w:r>
            <w:r w:rsidR="004F6760">
              <w:rPr>
                <w:rFonts w:cstheme="minorHAnsi"/>
                <w:spacing w:val="1"/>
                <w:shd w:val="clear" w:color="auto" w:fill="FFFFFF"/>
              </w:rPr>
              <w:t>.</w:t>
            </w:r>
          </w:p>
          <w:p w:rsidR="004F6760" w:rsidRDefault="004F6760" w:rsidP="007A161A">
            <w:pPr>
              <w:rPr>
                <w:rFonts w:cstheme="minorHAnsi"/>
                <w:spacing w:val="1"/>
                <w:shd w:val="clear" w:color="auto" w:fill="FFFFFF"/>
              </w:rPr>
            </w:pPr>
            <w:r w:rsidRPr="004F6760">
              <w:rPr>
                <w:rFonts w:cstheme="minorHAnsi"/>
                <w:spacing w:val="1"/>
                <w:shd w:val="clear" w:color="auto" w:fill="FFFFFF"/>
              </w:rPr>
              <w:t>Partnership Deed between members to</w:t>
            </w:r>
            <w:r>
              <w:rPr>
                <w:rFonts w:cstheme="minorHAnsi"/>
                <w:spacing w:val="1"/>
                <w:shd w:val="clear" w:color="auto" w:fill="FFFFFF"/>
              </w:rPr>
              <w:t xml:space="preserve"> define the overall business </w:t>
            </w:r>
            <w:r w:rsidRPr="004F6760">
              <w:rPr>
                <w:rFonts w:cstheme="minorHAnsi"/>
                <w:spacing w:val="1"/>
                <w:shd w:val="clear" w:color="auto" w:fill="FFFFFF"/>
              </w:rPr>
              <w:t>arrangement-</w:t>
            </w:r>
            <w:r w:rsidR="007A161A">
              <w:rPr>
                <w:rFonts w:cstheme="minorHAnsi"/>
                <w:spacing w:val="1"/>
                <w:shd w:val="clear" w:color="auto" w:fill="FFFFFF"/>
              </w:rPr>
              <w:t xml:space="preserve"> </w:t>
            </w:r>
            <w:bookmarkStart w:id="0" w:name="_GoBack"/>
            <w:bookmarkEnd w:id="0"/>
            <w:r w:rsidRPr="004F6760">
              <w:rPr>
                <w:rFonts w:cstheme="minorHAnsi"/>
                <w:spacing w:val="1"/>
                <w:shd w:val="clear" w:color="auto" w:fill="FFFFFF"/>
              </w:rPr>
              <w:t>rights and duties of partners, term, PSR</w:t>
            </w:r>
            <w:r>
              <w:rPr>
                <w:rFonts w:cstheme="minorHAnsi"/>
                <w:spacing w:val="1"/>
                <w:shd w:val="clear" w:color="auto" w:fill="FFFFFF"/>
              </w:rPr>
              <w:t>.</w:t>
            </w:r>
          </w:p>
        </w:tc>
      </w:tr>
    </w:tbl>
    <w:p w:rsidR="007C568A" w:rsidRDefault="007C568A" w:rsidP="007C568A">
      <w:pPr>
        <w:rPr>
          <w:rFonts w:cstheme="minorHAnsi"/>
          <w:spacing w:val="1"/>
          <w:shd w:val="clear" w:color="auto" w:fill="FFFFFF"/>
        </w:rPr>
      </w:pPr>
    </w:p>
    <w:p w:rsidR="007C568A" w:rsidRPr="007C568A" w:rsidRDefault="004F6760" w:rsidP="007C568A">
      <w:pPr>
        <w:pStyle w:val="ListParagraph"/>
        <w:numPr>
          <w:ilvl w:val="0"/>
          <w:numId w:val="1"/>
        </w:numPr>
        <w:rPr>
          <w:rFonts w:cstheme="minorHAnsi"/>
          <w:spacing w:val="1"/>
          <w:shd w:val="clear" w:color="auto" w:fill="FFFFFF"/>
        </w:rPr>
      </w:pPr>
      <w:r w:rsidRPr="007C568A">
        <w:rPr>
          <w:rFonts w:ascii="Arial" w:hAnsi="Arial" w:cs="Arial"/>
          <w:spacing w:val="1"/>
          <w:shd w:val="clear" w:color="auto" w:fill="FFFFFF"/>
        </w:rPr>
        <w:t>With the point of view of minimizing tax amount, the individual should opt or a limited company.</w:t>
      </w:r>
      <w:r w:rsidRPr="007C568A">
        <w:rPr>
          <w:rFonts w:cstheme="minorHAnsi"/>
          <w:spacing w:val="1"/>
          <w:shd w:val="clear" w:color="auto" w:fill="FFFFFF"/>
        </w:rPr>
        <w:t xml:space="preserve"> </w:t>
      </w:r>
      <w:r w:rsidRPr="007C568A">
        <w:rPr>
          <w:rFonts w:ascii="Arial" w:hAnsi="Arial" w:cs="Arial"/>
        </w:rPr>
        <w:t>While sole traders pay </w:t>
      </w:r>
      <w:hyperlink r:id="rId9" w:history="1">
        <w:r w:rsidRPr="007C568A">
          <w:rPr>
            <w:rStyle w:val="Hyperlink"/>
            <w:rFonts w:ascii="Arial" w:hAnsi="Arial" w:cs="Arial"/>
            <w:color w:val="auto"/>
            <w:u w:val="none"/>
          </w:rPr>
          <w:t>Income Tax</w:t>
        </w:r>
      </w:hyperlink>
      <w:r w:rsidRPr="007C568A">
        <w:rPr>
          <w:rFonts w:ascii="Arial" w:hAnsi="Arial" w:cs="Arial"/>
        </w:rPr>
        <w:t> on profits, limited companies pay </w:t>
      </w:r>
      <w:hyperlink r:id="rId10" w:history="1">
        <w:r w:rsidRPr="007C568A">
          <w:rPr>
            <w:rStyle w:val="Hyperlink"/>
            <w:rFonts w:ascii="Arial" w:hAnsi="Arial" w:cs="Arial"/>
            <w:color w:val="auto"/>
            <w:u w:val="none"/>
          </w:rPr>
          <w:t>Corporation Tax</w:t>
        </w:r>
      </w:hyperlink>
      <w:r w:rsidRPr="007C568A">
        <w:rPr>
          <w:rFonts w:ascii="Arial" w:hAnsi="Arial" w:cs="Arial"/>
        </w:rPr>
        <w:t> on profits, which is a lower rate than Income Tax</w:t>
      </w:r>
      <w:r w:rsidRPr="007C568A">
        <w:rPr>
          <w:rFonts w:cstheme="minorHAnsi"/>
          <w:spacing w:val="1"/>
          <w:shd w:val="clear" w:color="auto" w:fill="FFFFFF"/>
        </w:rPr>
        <w:t xml:space="preserve">. </w:t>
      </w:r>
      <w:r w:rsidRPr="007C568A">
        <w:rPr>
          <w:rFonts w:ascii="Arial" w:hAnsi="Arial" w:cs="Arial"/>
          <w:spacing w:val="1"/>
          <w:shd w:val="clear" w:color="auto" w:fill="FFFFFF"/>
        </w:rPr>
        <w:t xml:space="preserve">As a sole trader, </w:t>
      </w:r>
      <w:r w:rsidR="007A161A" w:rsidRPr="007C568A">
        <w:rPr>
          <w:rFonts w:ascii="Arial" w:hAnsi="Arial" w:cs="Arial"/>
          <w:spacing w:val="1"/>
          <w:shd w:val="clear" w:color="auto" w:fill="FFFFFF"/>
        </w:rPr>
        <w:t>a</w:t>
      </w:r>
      <w:r w:rsidRPr="007C568A">
        <w:rPr>
          <w:rFonts w:ascii="Arial" w:hAnsi="Arial" w:cs="Arial"/>
          <w:spacing w:val="1"/>
          <w:shd w:val="clear" w:color="auto" w:fill="FFFFFF"/>
        </w:rPr>
        <w:t xml:space="preserve"> sole trader business structure is taxed as part of your own personal income.</w:t>
      </w:r>
      <w:r w:rsidRPr="00971C3A">
        <w:t xml:space="preserve"> </w:t>
      </w:r>
      <w:r w:rsidRPr="007C568A">
        <w:rPr>
          <w:rFonts w:ascii="Arial" w:hAnsi="Arial" w:cs="Arial"/>
          <w:spacing w:val="1"/>
          <w:shd w:val="clear" w:color="auto" w:fill="FFFFFF"/>
        </w:rPr>
        <w:t>The limited company route is more tax efficient from a personal tax point of view, as he will typically take a small salary (with little tax liability) and the remainder of his income in the form of dividends.</w:t>
      </w:r>
    </w:p>
    <w:p w:rsidR="007C568A" w:rsidRPr="007C568A" w:rsidRDefault="007C568A" w:rsidP="007C568A">
      <w:pPr>
        <w:pStyle w:val="ListParagraph"/>
        <w:rPr>
          <w:rFonts w:cstheme="minorHAnsi"/>
          <w:spacing w:val="1"/>
          <w:shd w:val="clear" w:color="auto" w:fill="FFFFFF"/>
        </w:rPr>
      </w:pPr>
    </w:p>
    <w:p w:rsidR="007C568A" w:rsidRPr="007C568A" w:rsidRDefault="00462E17" w:rsidP="007C568A">
      <w:pPr>
        <w:pStyle w:val="ListParagraph"/>
        <w:numPr>
          <w:ilvl w:val="0"/>
          <w:numId w:val="1"/>
        </w:numPr>
        <w:rPr>
          <w:rFonts w:cstheme="minorHAnsi"/>
          <w:spacing w:val="1"/>
          <w:shd w:val="clear" w:color="auto" w:fill="FFFFFF"/>
        </w:rPr>
      </w:pPr>
      <w:r w:rsidRPr="007C568A">
        <w:rPr>
          <w:rFonts w:ascii="Arial" w:hAnsi="Arial" w:cs="Arial"/>
          <w:color w:val="000000"/>
        </w:rPr>
        <w:t>M</w:t>
      </w:r>
      <w:r w:rsidRPr="007C568A">
        <w:rPr>
          <w:rFonts w:ascii="Arial" w:hAnsi="Arial" w:cs="Arial"/>
          <w:color w:val="000000"/>
        </w:rPr>
        <w:t>odigliani and Miller’s first irrelevance proposition: the market value of any firm is independent of its capital structure.</w:t>
      </w:r>
      <w:r w:rsidRPr="007C568A">
        <w:rPr>
          <w:rFonts w:ascii="Arial" w:hAnsi="Arial" w:cs="Arial"/>
          <w:color w:val="000000"/>
        </w:rPr>
        <w:t xml:space="preserve"> </w:t>
      </w:r>
      <w:r w:rsidRPr="007C568A">
        <w:rPr>
          <w:rFonts w:ascii="Arial" w:hAnsi="Arial" w:cs="Arial"/>
          <w:color w:val="000000"/>
        </w:rPr>
        <w:t>Modigliani and Miller’s second irrelevance</w:t>
      </w:r>
      <w:r w:rsidRPr="007C568A">
        <w:rPr>
          <w:rFonts w:ascii="Arial" w:hAnsi="Arial" w:cs="Arial"/>
          <w:color w:val="000000"/>
        </w:rPr>
        <w:t xml:space="preserve"> </w:t>
      </w:r>
      <w:r w:rsidRPr="007C568A">
        <w:rPr>
          <w:rFonts w:ascii="Arial" w:hAnsi="Arial" w:cs="Arial"/>
          <w:color w:val="000000"/>
        </w:rPr>
        <w:t>proposition: The expected rate of return on the common stock of a leveraged firm increases in proportion to the debt–equity ratio, expressed in market values</w:t>
      </w:r>
      <w:r w:rsidRPr="007C568A">
        <w:rPr>
          <w:rFonts w:ascii="Arial" w:hAnsi="Arial" w:cs="Arial"/>
          <w:color w:val="000000"/>
        </w:rPr>
        <w:t>.</w:t>
      </w:r>
    </w:p>
    <w:p w:rsidR="007C568A" w:rsidRPr="007C568A" w:rsidRDefault="007C568A" w:rsidP="007C568A">
      <w:pPr>
        <w:pStyle w:val="ListParagraph"/>
        <w:rPr>
          <w:rFonts w:ascii="Arial" w:hAnsi="Arial" w:cs="Arial"/>
          <w:spacing w:val="1"/>
          <w:shd w:val="clear" w:color="auto" w:fill="FFFFFF"/>
        </w:rPr>
      </w:pPr>
    </w:p>
    <w:p w:rsidR="00885119" w:rsidRPr="007C568A" w:rsidRDefault="00462E17" w:rsidP="007C568A">
      <w:pPr>
        <w:pStyle w:val="ListParagraph"/>
        <w:numPr>
          <w:ilvl w:val="0"/>
          <w:numId w:val="1"/>
        </w:numPr>
        <w:rPr>
          <w:rFonts w:cstheme="minorHAnsi"/>
          <w:spacing w:val="1"/>
          <w:shd w:val="clear" w:color="auto" w:fill="FFFFFF"/>
        </w:rPr>
      </w:pPr>
      <w:r w:rsidRPr="007C568A">
        <w:rPr>
          <w:rFonts w:ascii="Arial" w:hAnsi="Arial" w:cs="Arial"/>
          <w:spacing w:val="1"/>
          <w:shd w:val="clear" w:color="auto" w:fill="FFFFFF"/>
        </w:rPr>
        <w:t>Fixed capital includes the assets or investments needed to start and maintain a business, like</w:t>
      </w:r>
      <w:r w:rsidR="00885119" w:rsidRPr="007C568A">
        <w:rPr>
          <w:rFonts w:ascii="Arial" w:hAnsi="Arial" w:cs="Arial"/>
          <w:spacing w:val="1"/>
          <w:shd w:val="clear" w:color="auto" w:fill="FFFFFF"/>
        </w:rPr>
        <w:t xml:space="preserve"> plant and machinery,</w:t>
      </w:r>
      <w:r w:rsidRPr="007C568A">
        <w:rPr>
          <w:rFonts w:ascii="Arial" w:hAnsi="Arial" w:cs="Arial"/>
          <w:spacing w:val="1"/>
          <w:shd w:val="clear" w:color="auto" w:fill="FFFFFF"/>
        </w:rPr>
        <w:t xml:space="preserve"> property or equipment. Working capital is the cash </w:t>
      </w:r>
      <w:r w:rsidRPr="007C568A">
        <w:rPr>
          <w:rFonts w:ascii="Arial" w:hAnsi="Arial" w:cs="Arial"/>
          <w:spacing w:val="1"/>
          <w:shd w:val="clear" w:color="auto" w:fill="FFFFFF"/>
        </w:rPr>
        <w:lastRenderedPageBreak/>
        <w:t>or other liquid assets that a business uses to cover daily operations, like m</w:t>
      </w:r>
      <w:r w:rsidR="00885119" w:rsidRPr="007C568A">
        <w:rPr>
          <w:rFonts w:ascii="Arial" w:hAnsi="Arial" w:cs="Arial"/>
          <w:spacing w:val="1"/>
          <w:shd w:val="clear" w:color="auto" w:fill="FFFFFF"/>
        </w:rPr>
        <w:t xml:space="preserve">eeting payroll and paying bills, raw materials and other </w:t>
      </w:r>
      <w:r w:rsidR="007A161A" w:rsidRPr="007C568A">
        <w:rPr>
          <w:rFonts w:ascii="Arial" w:hAnsi="Arial" w:cs="Arial"/>
          <w:spacing w:val="1"/>
          <w:shd w:val="clear" w:color="auto" w:fill="FFFFFF"/>
        </w:rPr>
        <w:t>utilities</w:t>
      </w:r>
      <w:r w:rsidR="00885119" w:rsidRPr="007C568A">
        <w:rPr>
          <w:rFonts w:ascii="Arial" w:hAnsi="Arial" w:cs="Arial"/>
          <w:spacing w:val="1"/>
          <w:shd w:val="clear" w:color="auto" w:fill="FFFFFF"/>
        </w:rPr>
        <w:t>.</w:t>
      </w:r>
    </w:p>
    <w:p w:rsidR="007C568A" w:rsidRPr="007C568A" w:rsidRDefault="007C568A" w:rsidP="007C568A">
      <w:pPr>
        <w:pStyle w:val="ListParagraph"/>
        <w:rPr>
          <w:rFonts w:cstheme="minorHAnsi"/>
          <w:spacing w:val="1"/>
          <w:shd w:val="clear" w:color="auto" w:fill="FFFFFF"/>
        </w:rPr>
      </w:pPr>
    </w:p>
    <w:p w:rsidR="007C568A" w:rsidRDefault="007C568A" w:rsidP="00233764">
      <w:pPr>
        <w:pStyle w:val="Default"/>
        <w:numPr>
          <w:ilvl w:val="0"/>
          <w:numId w:val="1"/>
        </w:numPr>
        <w:rPr>
          <w:rFonts w:ascii="Arial" w:hAnsi="Arial" w:cs="Arial"/>
          <w:sz w:val="22"/>
          <w:szCs w:val="22"/>
        </w:rPr>
      </w:pPr>
      <w:r w:rsidRPr="00233764">
        <w:rPr>
          <w:rFonts w:ascii="Arial" w:hAnsi="Arial" w:cs="Arial"/>
          <w:spacing w:val="1"/>
          <w:sz w:val="22"/>
          <w:szCs w:val="22"/>
          <w:shd w:val="clear" w:color="auto" w:fill="FFFFFF"/>
        </w:rPr>
        <w:t>Economies of scale are cost advantages reaped by companies when production becomes efficient. Companies can achieve economies of scale by increasing production and lowering</w:t>
      </w:r>
      <w:r w:rsidR="00233764" w:rsidRPr="00233764">
        <w:rPr>
          <w:rFonts w:ascii="Arial" w:hAnsi="Arial" w:cs="Arial"/>
          <w:spacing w:val="1"/>
          <w:sz w:val="22"/>
          <w:szCs w:val="22"/>
          <w:shd w:val="clear" w:color="auto" w:fill="FFFFFF"/>
        </w:rPr>
        <w:t xml:space="preserve"> average</w:t>
      </w:r>
      <w:r w:rsidRPr="00233764">
        <w:rPr>
          <w:rFonts w:ascii="Arial" w:hAnsi="Arial" w:cs="Arial"/>
          <w:spacing w:val="1"/>
          <w:sz w:val="22"/>
          <w:szCs w:val="22"/>
          <w:shd w:val="clear" w:color="auto" w:fill="FFFFFF"/>
        </w:rPr>
        <w:t xml:space="preserve"> costs. This happens because costs are spread over a larger number of goods.</w:t>
      </w:r>
      <w:r w:rsidR="00233764" w:rsidRPr="00233764">
        <w:rPr>
          <w:rFonts w:ascii="Arial" w:hAnsi="Arial" w:cs="Arial"/>
          <w:spacing w:val="1"/>
          <w:sz w:val="22"/>
          <w:szCs w:val="22"/>
          <w:shd w:val="clear" w:color="auto" w:fill="FFFFFF"/>
        </w:rPr>
        <w:t xml:space="preserve"> </w:t>
      </w:r>
      <w:r w:rsidR="00233764" w:rsidRPr="00233764">
        <w:rPr>
          <w:rFonts w:ascii="Arial" w:hAnsi="Arial" w:cs="Arial"/>
          <w:sz w:val="22"/>
          <w:szCs w:val="22"/>
        </w:rPr>
        <w:t xml:space="preserve">For </w:t>
      </w:r>
      <w:r w:rsidR="007A161A" w:rsidRPr="00233764">
        <w:rPr>
          <w:rFonts w:ascii="Arial" w:hAnsi="Arial" w:cs="Arial"/>
          <w:sz w:val="22"/>
          <w:szCs w:val="22"/>
        </w:rPr>
        <w:t>e</w:t>
      </w:r>
      <w:r w:rsidR="007A161A">
        <w:rPr>
          <w:rFonts w:ascii="Arial" w:hAnsi="Arial" w:cs="Arial"/>
          <w:sz w:val="22"/>
          <w:szCs w:val="22"/>
        </w:rPr>
        <w:t>.g.</w:t>
      </w:r>
      <w:r w:rsidR="00233764">
        <w:rPr>
          <w:rFonts w:ascii="Arial" w:hAnsi="Arial" w:cs="Arial"/>
          <w:sz w:val="22"/>
          <w:szCs w:val="22"/>
        </w:rPr>
        <w:t xml:space="preserve">, </w:t>
      </w:r>
      <w:r w:rsidR="00233764" w:rsidRPr="00233764">
        <w:rPr>
          <w:rFonts w:ascii="Arial" w:hAnsi="Arial" w:cs="Arial"/>
          <w:sz w:val="22"/>
          <w:szCs w:val="22"/>
        </w:rPr>
        <w:t>by buying in bulk, obtaining better credit terms from suppliers, by investing in machinery and techn</w:t>
      </w:r>
      <w:r w:rsidR="00233764">
        <w:rPr>
          <w:rFonts w:ascii="Arial" w:hAnsi="Arial" w:cs="Arial"/>
          <w:sz w:val="22"/>
          <w:szCs w:val="22"/>
        </w:rPr>
        <w:t>iques that improve productivity.</w:t>
      </w:r>
    </w:p>
    <w:p w:rsidR="00233764" w:rsidRDefault="00233764" w:rsidP="00233764">
      <w:pPr>
        <w:pStyle w:val="ListParagraph"/>
        <w:rPr>
          <w:rFonts w:ascii="Arial" w:hAnsi="Arial" w:cs="Arial"/>
        </w:rPr>
      </w:pPr>
    </w:p>
    <w:p w:rsidR="00A73606" w:rsidRDefault="00233764" w:rsidP="00875255">
      <w:pPr>
        <w:pStyle w:val="Default"/>
        <w:numPr>
          <w:ilvl w:val="0"/>
          <w:numId w:val="1"/>
        </w:numPr>
        <w:rPr>
          <w:rFonts w:ascii="Arial" w:hAnsi="Arial" w:cs="Arial"/>
          <w:sz w:val="22"/>
          <w:szCs w:val="22"/>
        </w:rPr>
      </w:pPr>
      <w:r w:rsidRPr="00233764">
        <w:rPr>
          <w:rFonts w:ascii="Arial" w:hAnsi="Arial" w:cs="Arial"/>
          <w:sz w:val="22"/>
          <w:szCs w:val="22"/>
        </w:rPr>
        <w:t>If a pension fund has to report its financial position every year, it may be more averse to very short-</w:t>
      </w:r>
      <w:r w:rsidRPr="00A73606">
        <w:rPr>
          <w:rFonts w:ascii="Arial" w:hAnsi="Arial" w:cs="Arial"/>
          <w:sz w:val="22"/>
          <w:szCs w:val="22"/>
        </w:rPr>
        <w:t>term investment losses than if it had to report only every three years. The consequence of this might</w:t>
      </w:r>
      <w:r w:rsidRPr="00A73606">
        <w:rPr>
          <w:rFonts w:ascii="Arial" w:hAnsi="Arial" w:cs="Arial"/>
          <w:sz w:val="22"/>
          <w:szCs w:val="22"/>
        </w:rPr>
        <w:t xml:space="preserve"> </w:t>
      </w:r>
      <w:r w:rsidRPr="00A73606">
        <w:rPr>
          <w:rFonts w:ascii="Arial" w:hAnsi="Arial" w:cs="Arial"/>
          <w:sz w:val="22"/>
          <w:szCs w:val="22"/>
        </w:rPr>
        <w:t>be to force the fund to invest in less volatile assets</w:t>
      </w:r>
      <w:r w:rsidRPr="00A73606">
        <w:rPr>
          <w:rFonts w:ascii="Arial" w:hAnsi="Arial" w:cs="Arial"/>
          <w:sz w:val="22"/>
          <w:szCs w:val="22"/>
        </w:rPr>
        <w:t xml:space="preserve"> in order to reduce the risk of </w:t>
      </w:r>
      <w:r w:rsidRPr="00A73606">
        <w:rPr>
          <w:rFonts w:ascii="Arial" w:hAnsi="Arial" w:cs="Arial"/>
          <w:sz w:val="22"/>
          <w:szCs w:val="22"/>
        </w:rPr>
        <w:t>having to report a</w:t>
      </w:r>
      <w:r w:rsidRPr="00A73606">
        <w:rPr>
          <w:rFonts w:ascii="Arial" w:hAnsi="Arial" w:cs="Arial"/>
          <w:sz w:val="22"/>
          <w:szCs w:val="22"/>
        </w:rPr>
        <w:t xml:space="preserve"> </w:t>
      </w:r>
      <w:r w:rsidRPr="00A73606">
        <w:rPr>
          <w:rFonts w:ascii="Arial" w:hAnsi="Arial" w:cs="Arial"/>
          <w:sz w:val="22"/>
          <w:szCs w:val="22"/>
        </w:rPr>
        <w:t xml:space="preserve">poor financial position. It might therefore result in </w:t>
      </w:r>
      <w:r w:rsidRPr="00A73606">
        <w:rPr>
          <w:rFonts w:ascii="Arial" w:hAnsi="Arial" w:cs="Arial"/>
          <w:sz w:val="22"/>
          <w:szCs w:val="22"/>
        </w:rPr>
        <w:t xml:space="preserve">the fund investing less heavily </w:t>
      </w:r>
      <w:r w:rsidRPr="00A73606">
        <w:rPr>
          <w:rFonts w:ascii="Arial" w:hAnsi="Arial" w:cs="Arial"/>
          <w:sz w:val="22"/>
          <w:szCs w:val="22"/>
        </w:rPr>
        <w:t>in equities, and</w:t>
      </w:r>
      <w:r w:rsidRPr="00A73606">
        <w:rPr>
          <w:rFonts w:ascii="Arial" w:hAnsi="Arial" w:cs="Arial"/>
          <w:sz w:val="22"/>
          <w:szCs w:val="22"/>
        </w:rPr>
        <w:t xml:space="preserve"> </w:t>
      </w:r>
      <w:r w:rsidRPr="00A73606">
        <w:rPr>
          <w:rFonts w:ascii="Arial" w:hAnsi="Arial" w:cs="Arial"/>
          <w:sz w:val="22"/>
          <w:szCs w:val="22"/>
        </w:rPr>
        <w:t>possibly also less heavily in long-term bonds.</w:t>
      </w:r>
    </w:p>
    <w:p w:rsidR="00875255" w:rsidRDefault="00875255" w:rsidP="00875255">
      <w:pPr>
        <w:pStyle w:val="ListParagraph"/>
        <w:rPr>
          <w:rFonts w:ascii="Arial" w:hAnsi="Arial" w:cs="Arial"/>
        </w:rPr>
      </w:pPr>
    </w:p>
    <w:p w:rsidR="00875255" w:rsidRDefault="007A161A" w:rsidP="00636B5D">
      <w:pPr>
        <w:pStyle w:val="Default"/>
        <w:numPr>
          <w:ilvl w:val="0"/>
          <w:numId w:val="1"/>
        </w:numPr>
        <w:rPr>
          <w:rFonts w:ascii="Arial" w:hAnsi="Arial" w:cs="Arial"/>
          <w:sz w:val="22"/>
          <w:szCs w:val="22"/>
        </w:rPr>
      </w:pPr>
      <w:r>
        <w:rPr>
          <w:rFonts w:ascii="Arial" w:hAnsi="Arial" w:cs="Arial"/>
          <w:sz w:val="22"/>
          <w:szCs w:val="22"/>
        </w:rPr>
        <w:t>I would choose scenario 2. Although t</w:t>
      </w:r>
      <w:r w:rsidR="00636B5D" w:rsidRPr="00636B5D">
        <w:rPr>
          <w:rFonts w:ascii="Arial" w:hAnsi="Arial" w:cs="Arial"/>
          <w:sz w:val="22"/>
          <w:szCs w:val="22"/>
        </w:rPr>
        <w:t>he two alternat</w:t>
      </w:r>
      <w:r>
        <w:rPr>
          <w:rFonts w:ascii="Arial" w:hAnsi="Arial" w:cs="Arial"/>
          <w:sz w:val="22"/>
          <w:szCs w:val="22"/>
        </w:rPr>
        <w:t>ives are of course identical</w:t>
      </w:r>
      <w:r w:rsidR="00636B5D" w:rsidRPr="00636B5D">
        <w:rPr>
          <w:rFonts w:ascii="Arial" w:hAnsi="Arial" w:cs="Arial"/>
          <w:sz w:val="22"/>
          <w:szCs w:val="22"/>
        </w:rPr>
        <w:t xml:space="preserve"> they both offer an equal chance</w:t>
      </w:r>
      <w:r>
        <w:rPr>
          <w:rFonts w:ascii="Arial" w:hAnsi="Arial" w:cs="Arial"/>
          <w:sz w:val="22"/>
          <w:szCs w:val="22"/>
        </w:rPr>
        <w:t>, c</w:t>
      </w:r>
      <w:r w:rsidR="00636B5D">
        <w:rPr>
          <w:rFonts w:ascii="Arial" w:hAnsi="Arial" w:cs="Arial"/>
          <w:sz w:val="22"/>
          <w:szCs w:val="22"/>
        </w:rPr>
        <w:t xml:space="preserve">hoosing any of the scenarios could depend </w:t>
      </w:r>
      <w:r>
        <w:rPr>
          <w:rFonts w:ascii="Arial" w:hAnsi="Arial" w:cs="Arial"/>
          <w:sz w:val="22"/>
          <w:szCs w:val="22"/>
        </w:rPr>
        <w:t xml:space="preserve">on some reference point or if one needs the Rs.2000 today or not. </w:t>
      </w:r>
    </w:p>
    <w:p w:rsidR="00875255" w:rsidRDefault="00875255" w:rsidP="00875255">
      <w:pPr>
        <w:pStyle w:val="ListParagraph"/>
        <w:rPr>
          <w:rFonts w:ascii="Arial" w:hAnsi="Arial" w:cs="Arial"/>
        </w:rPr>
      </w:pPr>
    </w:p>
    <w:p w:rsidR="00875255" w:rsidRDefault="00875255" w:rsidP="008E5D01">
      <w:pPr>
        <w:pStyle w:val="Default"/>
        <w:numPr>
          <w:ilvl w:val="0"/>
          <w:numId w:val="1"/>
        </w:numPr>
        <w:jc w:val="both"/>
        <w:rPr>
          <w:rFonts w:ascii="Arial" w:hAnsi="Arial" w:cs="Arial"/>
          <w:sz w:val="22"/>
          <w:szCs w:val="22"/>
        </w:rPr>
      </w:pPr>
      <w:r>
        <w:rPr>
          <w:rFonts w:ascii="Arial" w:hAnsi="Arial" w:cs="Arial"/>
          <w:sz w:val="22"/>
          <w:szCs w:val="22"/>
        </w:rPr>
        <w:t>The possible costs of holding a buffer stock can be-</w:t>
      </w:r>
    </w:p>
    <w:p w:rsidR="00875255" w:rsidRDefault="00875255" w:rsidP="00875255">
      <w:pPr>
        <w:pStyle w:val="ListParagraph"/>
        <w:rPr>
          <w:rFonts w:ascii="Arial" w:hAnsi="Arial" w:cs="Arial"/>
        </w:rPr>
      </w:pPr>
    </w:p>
    <w:p w:rsidR="00875255" w:rsidRPr="00875255" w:rsidRDefault="00875255" w:rsidP="008E5D01">
      <w:pPr>
        <w:numPr>
          <w:ilvl w:val="0"/>
          <w:numId w:val="13"/>
        </w:numPr>
        <w:shd w:val="clear" w:color="auto" w:fill="FFFFFF"/>
        <w:spacing w:after="0" w:line="240" w:lineRule="auto"/>
        <w:rPr>
          <w:rFonts w:ascii="Arial" w:eastAsia="Times New Roman" w:hAnsi="Arial" w:cs="Arial"/>
        </w:rPr>
      </w:pPr>
      <w:r w:rsidRPr="00875255">
        <w:rPr>
          <w:rFonts w:ascii="Arial" w:eastAsia="Times New Roman" w:hAnsi="Arial" w:cs="Arial"/>
        </w:rPr>
        <w:t>Cost of buying excess supply could become quite high for the government and may require higher taxes.</w:t>
      </w:r>
    </w:p>
    <w:p w:rsidR="00875255" w:rsidRPr="00875255" w:rsidRDefault="00875255" w:rsidP="008E5D01">
      <w:pPr>
        <w:numPr>
          <w:ilvl w:val="0"/>
          <w:numId w:val="13"/>
        </w:numPr>
        <w:shd w:val="clear" w:color="auto" w:fill="FFFFFF"/>
        <w:spacing w:after="0" w:line="240" w:lineRule="auto"/>
        <w:rPr>
          <w:rFonts w:ascii="Arial" w:eastAsia="Times New Roman" w:hAnsi="Arial" w:cs="Arial"/>
        </w:rPr>
      </w:pPr>
      <w:r w:rsidRPr="00875255">
        <w:rPr>
          <w:rFonts w:ascii="Arial" w:eastAsia="Times New Roman" w:hAnsi="Arial" w:cs="Arial"/>
        </w:rPr>
        <w:t xml:space="preserve">Minimum prices and buffer stocks could encourage oversupply as farmers know any surplus will be bought. It could even encourage excess use of chemicals to </w:t>
      </w:r>
      <w:r w:rsidR="007A161A" w:rsidRPr="00875255">
        <w:rPr>
          <w:rFonts w:ascii="Arial" w:eastAsia="Times New Roman" w:hAnsi="Arial" w:cs="Arial"/>
        </w:rPr>
        <w:t>maximize</w:t>
      </w:r>
      <w:r w:rsidRPr="00875255">
        <w:rPr>
          <w:rFonts w:ascii="Arial" w:eastAsia="Times New Roman" w:hAnsi="Arial" w:cs="Arial"/>
        </w:rPr>
        <w:t xml:space="preserve"> yields because farmers know any excess supply can be sold – even if the market doesn’t want it.</w:t>
      </w:r>
    </w:p>
    <w:p w:rsidR="00875255" w:rsidRPr="00875255" w:rsidRDefault="00875255" w:rsidP="008E5D01">
      <w:pPr>
        <w:numPr>
          <w:ilvl w:val="0"/>
          <w:numId w:val="13"/>
        </w:numPr>
        <w:shd w:val="clear" w:color="auto" w:fill="FFFFFF"/>
        <w:spacing w:after="0" w:line="240" w:lineRule="auto"/>
        <w:rPr>
          <w:rFonts w:ascii="Arial" w:eastAsia="Times New Roman" w:hAnsi="Arial" w:cs="Arial"/>
        </w:rPr>
      </w:pPr>
      <w:r w:rsidRPr="00875255">
        <w:rPr>
          <w:rFonts w:ascii="Arial" w:eastAsia="Times New Roman" w:hAnsi="Arial" w:cs="Arial"/>
        </w:rPr>
        <w:t>Government subsidy to farmers may encourage inefficiency amongst farmers. There may be less incentive to cut costs and respond to market pressures.</w:t>
      </w:r>
    </w:p>
    <w:p w:rsidR="00875255" w:rsidRPr="00875255" w:rsidRDefault="00875255" w:rsidP="008E5D01">
      <w:pPr>
        <w:numPr>
          <w:ilvl w:val="0"/>
          <w:numId w:val="13"/>
        </w:numPr>
        <w:shd w:val="clear" w:color="auto" w:fill="FFFFFF"/>
        <w:spacing w:after="0" w:line="240" w:lineRule="auto"/>
        <w:rPr>
          <w:rFonts w:ascii="Arial" w:eastAsia="Times New Roman" w:hAnsi="Arial" w:cs="Arial"/>
        </w:rPr>
      </w:pPr>
      <w:r w:rsidRPr="00875255">
        <w:rPr>
          <w:rFonts w:ascii="Arial" w:eastAsia="Times New Roman" w:hAnsi="Arial" w:cs="Arial"/>
        </w:rPr>
        <w:t xml:space="preserve">Some goods cannot be stored in buffer stocks, e.g. fresh milk, meat </w:t>
      </w:r>
      <w:r w:rsidR="007A161A" w:rsidRPr="00875255">
        <w:rPr>
          <w:rFonts w:ascii="Arial" w:eastAsia="Times New Roman" w:hAnsi="Arial" w:cs="Arial"/>
        </w:rPr>
        <w:t>etc.</w:t>
      </w:r>
    </w:p>
    <w:p w:rsidR="00875255" w:rsidRPr="00875255" w:rsidRDefault="00875255" w:rsidP="008E5D01">
      <w:pPr>
        <w:numPr>
          <w:ilvl w:val="0"/>
          <w:numId w:val="13"/>
        </w:numPr>
        <w:shd w:val="clear" w:color="auto" w:fill="FFFFFF"/>
        <w:spacing w:after="0" w:line="240" w:lineRule="auto"/>
        <w:rPr>
          <w:rFonts w:ascii="Arial" w:eastAsia="Times New Roman" w:hAnsi="Arial" w:cs="Arial"/>
        </w:rPr>
      </w:pPr>
      <w:r w:rsidRPr="00875255">
        <w:rPr>
          <w:rFonts w:ascii="Arial" w:eastAsia="Times New Roman" w:hAnsi="Arial" w:cs="Arial"/>
        </w:rPr>
        <w:t>Government agencies may have poor info</w:t>
      </w:r>
      <w:r w:rsidR="008E5D01">
        <w:rPr>
          <w:rFonts w:ascii="Arial" w:eastAsia="Times New Roman" w:hAnsi="Arial" w:cs="Arial"/>
        </w:rPr>
        <w:t xml:space="preserve">rmation e.g. what price to set or </w:t>
      </w:r>
      <w:r w:rsidRPr="00875255">
        <w:rPr>
          <w:rFonts w:ascii="Arial" w:eastAsia="Times New Roman" w:hAnsi="Arial" w:cs="Arial"/>
        </w:rPr>
        <w:t>how much to buy</w:t>
      </w:r>
      <w:r w:rsidR="008E5D01">
        <w:rPr>
          <w:rFonts w:ascii="Arial" w:eastAsia="Times New Roman" w:hAnsi="Arial" w:cs="Arial"/>
        </w:rPr>
        <w:t xml:space="preserve">, </w:t>
      </w:r>
      <w:r w:rsidR="007A161A" w:rsidRPr="00875255">
        <w:rPr>
          <w:rFonts w:ascii="Arial" w:eastAsia="Times New Roman" w:hAnsi="Arial" w:cs="Arial"/>
        </w:rPr>
        <w:t>in</w:t>
      </w:r>
      <w:r w:rsidRPr="00875255">
        <w:rPr>
          <w:rFonts w:ascii="Arial" w:eastAsia="Times New Roman" w:hAnsi="Arial" w:cs="Arial"/>
        </w:rPr>
        <w:t xml:space="preserve"> practice, it can be difficult to know whether there is a surplus until later in the year.</w:t>
      </w:r>
    </w:p>
    <w:p w:rsidR="00875255" w:rsidRPr="00875255" w:rsidRDefault="00875255" w:rsidP="008E5D01">
      <w:pPr>
        <w:numPr>
          <w:ilvl w:val="0"/>
          <w:numId w:val="13"/>
        </w:numPr>
        <w:shd w:val="clear" w:color="auto" w:fill="FFFFFF"/>
        <w:spacing w:after="0" w:line="240" w:lineRule="auto"/>
        <w:rPr>
          <w:rFonts w:ascii="Arial" w:eastAsia="Times New Roman" w:hAnsi="Arial" w:cs="Arial"/>
        </w:rPr>
      </w:pPr>
      <w:r w:rsidRPr="00875255">
        <w:rPr>
          <w:rFonts w:ascii="Arial" w:eastAsia="Times New Roman" w:hAnsi="Arial" w:cs="Arial"/>
        </w:rPr>
        <w:t>Administration costs of the scheme.</w:t>
      </w:r>
    </w:p>
    <w:p w:rsidR="00875255" w:rsidRPr="00875255" w:rsidRDefault="00875255" w:rsidP="008E5D01">
      <w:pPr>
        <w:numPr>
          <w:ilvl w:val="0"/>
          <w:numId w:val="13"/>
        </w:numPr>
        <w:shd w:val="clear" w:color="auto" w:fill="FFFFFF"/>
        <w:spacing w:after="0" w:line="240" w:lineRule="auto"/>
        <w:rPr>
          <w:rFonts w:ascii="Arial" w:eastAsia="Times New Roman" w:hAnsi="Arial" w:cs="Arial"/>
        </w:rPr>
      </w:pPr>
      <w:r w:rsidRPr="00875255">
        <w:rPr>
          <w:rFonts w:ascii="Arial" w:eastAsia="Times New Roman" w:hAnsi="Arial" w:cs="Arial"/>
        </w:rPr>
        <w:t>Minimum prices for foodstuffs may require tariffs on imports.</w:t>
      </w:r>
    </w:p>
    <w:p w:rsidR="00875255" w:rsidRPr="008E5D01" w:rsidRDefault="007A161A" w:rsidP="008E5D01">
      <w:pPr>
        <w:numPr>
          <w:ilvl w:val="0"/>
          <w:numId w:val="13"/>
        </w:numPr>
        <w:shd w:val="clear" w:color="auto" w:fill="FFFFFF"/>
        <w:spacing w:after="0" w:line="240" w:lineRule="auto"/>
        <w:rPr>
          <w:rFonts w:ascii="Arial" w:eastAsia="Times New Roman" w:hAnsi="Arial" w:cs="Arial"/>
        </w:rPr>
      </w:pPr>
      <w:r w:rsidRPr="00875255">
        <w:rPr>
          <w:rFonts w:ascii="Arial" w:eastAsia="Times New Roman" w:hAnsi="Arial" w:cs="Arial"/>
        </w:rPr>
        <w:t>Globalized</w:t>
      </w:r>
      <w:r w:rsidR="00875255" w:rsidRPr="00875255">
        <w:rPr>
          <w:rFonts w:ascii="Arial" w:eastAsia="Times New Roman" w:hAnsi="Arial" w:cs="Arial"/>
        </w:rPr>
        <w:t xml:space="preserve"> markets. Agriculture is a </w:t>
      </w:r>
      <w:r w:rsidRPr="00875255">
        <w:rPr>
          <w:rFonts w:ascii="Arial" w:eastAsia="Times New Roman" w:hAnsi="Arial" w:cs="Arial"/>
        </w:rPr>
        <w:t>globalized</w:t>
      </w:r>
      <w:r w:rsidR="00875255" w:rsidRPr="00875255">
        <w:rPr>
          <w:rFonts w:ascii="Arial" w:eastAsia="Times New Roman" w:hAnsi="Arial" w:cs="Arial"/>
        </w:rPr>
        <w:t xml:space="preserve"> market. If some countries form a buffer stock scheme and buy excess supply, they may find that other countries ‘free-ride’ on their efforts to keep prices high and undercut them.</w:t>
      </w:r>
    </w:p>
    <w:sectPr w:rsidR="00875255" w:rsidRPr="008E5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otham Narrow Book">
    <w:altName w:val="Gotham Narrow Book"/>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35E0"/>
    <w:multiLevelType w:val="multilevel"/>
    <w:tmpl w:val="2A06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F4EBC"/>
    <w:multiLevelType w:val="hybridMultilevel"/>
    <w:tmpl w:val="90D0F210"/>
    <w:lvl w:ilvl="0" w:tplc="186AF9C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00542"/>
    <w:multiLevelType w:val="hybridMultilevel"/>
    <w:tmpl w:val="CEBEFB4E"/>
    <w:lvl w:ilvl="0" w:tplc="E980826E">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015AE"/>
    <w:multiLevelType w:val="hybridMultilevel"/>
    <w:tmpl w:val="E9307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A4687B"/>
    <w:multiLevelType w:val="multilevel"/>
    <w:tmpl w:val="2E10A9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803D6"/>
    <w:multiLevelType w:val="hybridMultilevel"/>
    <w:tmpl w:val="CB7AA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673848"/>
    <w:multiLevelType w:val="hybridMultilevel"/>
    <w:tmpl w:val="A5AAE908"/>
    <w:lvl w:ilvl="0" w:tplc="186AF9C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47B1B"/>
    <w:multiLevelType w:val="hybridMultilevel"/>
    <w:tmpl w:val="45F89EFE"/>
    <w:lvl w:ilvl="0" w:tplc="E980826E">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A24F8"/>
    <w:multiLevelType w:val="hybridMultilevel"/>
    <w:tmpl w:val="0A4411CA"/>
    <w:lvl w:ilvl="0" w:tplc="372E5568">
      <w:start w:val="1"/>
      <w:numFmt w:val="decimal"/>
      <w:lvlText w:val="A%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6722D0"/>
    <w:multiLevelType w:val="hybridMultilevel"/>
    <w:tmpl w:val="AB28B400"/>
    <w:lvl w:ilvl="0" w:tplc="04090001">
      <w:start w:val="1"/>
      <w:numFmt w:val="bullet"/>
      <w:lvlText w:val=""/>
      <w:lvlJc w:val="left"/>
      <w:pPr>
        <w:ind w:left="720" w:hanging="360"/>
      </w:pPr>
      <w:rPr>
        <w:rFonts w:ascii="Symbol" w:hAnsi="Symbol" w:hint="default"/>
      </w:rPr>
    </w:lvl>
    <w:lvl w:ilvl="1" w:tplc="08867DB2">
      <w:numFmt w:val="bullet"/>
      <w:lvlText w:val="•"/>
      <w:lvlJc w:val="left"/>
      <w:pPr>
        <w:ind w:left="1440" w:hanging="360"/>
      </w:pPr>
      <w:rPr>
        <w:rFonts w:ascii="GothamNarrow-Book" w:eastAsiaTheme="minorHAnsi" w:hAnsi="GothamNarrow-Book" w:cs="GothamNarrow-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C166A0"/>
    <w:multiLevelType w:val="hybridMultilevel"/>
    <w:tmpl w:val="604825AC"/>
    <w:lvl w:ilvl="0" w:tplc="186AF9C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607FF8"/>
    <w:multiLevelType w:val="hybridMultilevel"/>
    <w:tmpl w:val="9962B9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74D0B4E"/>
    <w:multiLevelType w:val="hybridMultilevel"/>
    <w:tmpl w:val="D83E5DAE"/>
    <w:lvl w:ilvl="0" w:tplc="372E556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12"/>
  </w:num>
  <w:num w:numId="5">
    <w:abstractNumId w:val="7"/>
  </w:num>
  <w:num w:numId="6">
    <w:abstractNumId w:val="2"/>
  </w:num>
  <w:num w:numId="7">
    <w:abstractNumId w:val="1"/>
  </w:num>
  <w:num w:numId="8">
    <w:abstractNumId w:val="9"/>
  </w:num>
  <w:num w:numId="9">
    <w:abstractNumId w:val="5"/>
  </w:num>
  <w:num w:numId="10">
    <w:abstractNumId w:val="6"/>
  </w:num>
  <w:num w:numId="11">
    <w:abstractNumId w:val="1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CE"/>
    <w:rsid w:val="00021DCB"/>
    <w:rsid w:val="00051083"/>
    <w:rsid w:val="00233764"/>
    <w:rsid w:val="00271673"/>
    <w:rsid w:val="002E5ED4"/>
    <w:rsid w:val="00373DCE"/>
    <w:rsid w:val="00462E17"/>
    <w:rsid w:val="004F6760"/>
    <w:rsid w:val="00636B5D"/>
    <w:rsid w:val="007A161A"/>
    <w:rsid w:val="007C568A"/>
    <w:rsid w:val="00875255"/>
    <w:rsid w:val="00885119"/>
    <w:rsid w:val="008E5D01"/>
    <w:rsid w:val="00945F24"/>
    <w:rsid w:val="00971C3A"/>
    <w:rsid w:val="00A73606"/>
    <w:rsid w:val="00E50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8853"/>
  <w15:chartTrackingRefBased/>
  <w15:docId w15:val="{BF83BDD5-ED2A-4A8F-9A88-8D88F595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DCE"/>
    <w:pPr>
      <w:ind w:left="720"/>
      <w:contextualSpacing/>
    </w:pPr>
  </w:style>
  <w:style w:type="character" w:styleId="Hyperlink">
    <w:name w:val="Hyperlink"/>
    <w:basedOn w:val="DefaultParagraphFont"/>
    <w:uiPriority w:val="99"/>
    <w:semiHidden/>
    <w:unhideWhenUsed/>
    <w:rsid w:val="00021DCB"/>
    <w:rPr>
      <w:color w:val="0000FF"/>
      <w:u w:val="single"/>
    </w:rPr>
  </w:style>
  <w:style w:type="table" w:styleId="TableGrid">
    <w:name w:val="Table Grid"/>
    <w:basedOn w:val="TableNormal"/>
    <w:uiPriority w:val="39"/>
    <w:rsid w:val="002E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3764"/>
    <w:pPr>
      <w:autoSpaceDE w:val="0"/>
      <w:autoSpaceDN w:val="0"/>
      <w:adjustRightInd w:val="0"/>
      <w:spacing w:after="0" w:line="240" w:lineRule="auto"/>
    </w:pPr>
    <w:rPr>
      <w:rFonts w:ascii="Gotham Narrow Book" w:hAnsi="Gotham Narrow Book" w:cs="Gotham Narrow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78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1/30-yeartreasury.asp" TargetMode="External"/><Relationship Id="rId3" Type="http://schemas.openxmlformats.org/officeDocument/2006/relationships/styles" Target="styles.xml"/><Relationship Id="rId7" Type="http://schemas.openxmlformats.org/officeDocument/2006/relationships/hyperlink" Target="https://www.investopedia.com/terms/1/10-yeartreasury.as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vestopedia.com/terms/t/treasurynote.as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reeagent.com/en/glossary/corporation-tax/" TargetMode="External"/><Relationship Id="rId4" Type="http://schemas.openxmlformats.org/officeDocument/2006/relationships/settings" Target="settings.xml"/><Relationship Id="rId9" Type="http://schemas.openxmlformats.org/officeDocument/2006/relationships/hyperlink" Target="https://www.freeagent.com/en/glossary/income-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966BB-B7FA-4964-B747-0E6B6FCD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dc:creator>
  <cp:keywords/>
  <dc:description/>
  <cp:lastModifiedBy>ISHAN</cp:lastModifiedBy>
  <cp:revision>2</cp:revision>
  <dcterms:created xsi:type="dcterms:W3CDTF">2022-01-19T22:45:00Z</dcterms:created>
  <dcterms:modified xsi:type="dcterms:W3CDTF">2022-01-19T22:45:00Z</dcterms:modified>
</cp:coreProperties>
</file>