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9D32D" w14:textId="36B72408" w:rsidR="00346FEC" w:rsidRPr="00346FEC" w:rsidRDefault="00346FEC" w:rsidP="00346FEC">
      <w:pPr>
        <w:jc w:val="center"/>
        <w:rPr>
          <w:b/>
          <w:bCs/>
          <w:u w:val="single"/>
        </w:rPr>
      </w:pPr>
      <w:r w:rsidRPr="00346FEC">
        <w:rPr>
          <w:b/>
          <w:bCs/>
          <w:u w:val="single"/>
        </w:rPr>
        <w:t>RMIM-2_717_Assignment</w:t>
      </w:r>
    </w:p>
    <w:p w14:paraId="07F32D8F" w14:textId="77777777" w:rsidR="00346FEC" w:rsidRDefault="00346FEC" w:rsidP="00FC7FCE"/>
    <w:p w14:paraId="5567461D" w14:textId="7E972854" w:rsidR="00FC7FCE" w:rsidRPr="00346FEC" w:rsidRDefault="00FC7FCE" w:rsidP="00FC7FCE">
      <w:r w:rsidRPr="00346FEC">
        <w:t>3)</w:t>
      </w:r>
    </w:p>
    <w:p w14:paraId="6BF2AD45" w14:textId="702EFB30" w:rsidR="00FC7FCE" w:rsidRPr="00346FEC" w:rsidRDefault="00FC7FCE" w:rsidP="00FC7FCE">
      <w:r w:rsidRPr="00346FEC">
        <w:t xml:space="preserve">Use of money-weighted rate of return - The money-weighted rate of return (MWRR) is useful as an absolute measure of the achieved return. It can be compared with the actuarial assumptions underlying the fund to see whether the achieved return is higher or lower than that expected. </w:t>
      </w:r>
    </w:p>
    <w:p w14:paraId="3A574954" w14:textId="77777777" w:rsidR="00FC7FCE" w:rsidRPr="00346FEC" w:rsidRDefault="00FC7FCE" w:rsidP="00FC7FCE">
      <w:pPr>
        <w:pStyle w:val="ListParagraph"/>
        <w:numPr>
          <w:ilvl w:val="2"/>
          <w:numId w:val="1"/>
        </w:numPr>
        <w:ind w:left="993"/>
      </w:pPr>
      <w:r w:rsidRPr="00346FEC">
        <w:t>Use of time-weighted rate of return - The time-weighted rate of return overcomes the basic problem associated with money-weighted rates of return. Theoretically, it is usable as a basis for comparing different investment managers because the timing and size of cashflows will not distort the rates calculated.</w:t>
      </w:r>
    </w:p>
    <w:p w14:paraId="1BDB9FBC" w14:textId="77777777" w:rsidR="00FC7FCE" w:rsidRPr="00346FEC" w:rsidRDefault="00FC7FCE" w:rsidP="00FC7FCE">
      <w:pPr>
        <w:pStyle w:val="ListParagraph"/>
        <w:numPr>
          <w:ilvl w:val="2"/>
          <w:numId w:val="1"/>
        </w:numPr>
        <w:ind w:left="993"/>
      </w:pPr>
      <w:r w:rsidRPr="00346FEC">
        <w:t>Use of linked internal rate of return - the linked internal rate of return is a simplified method used to approximate to time-weighted rate of return</w:t>
      </w:r>
    </w:p>
    <w:p w14:paraId="42BEEAA1" w14:textId="77777777" w:rsidR="00FC7FCE" w:rsidRPr="00346FEC" w:rsidRDefault="00FC7FCE" w:rsidP="00FC7FCE">
      <w:pPr>
        <w:pStyle w:val="ListParagraph"/>
        <w:numPr>
          <w:ilvl w:val="2"/>
          <w:numId w:val="1"/>
        </w:numPr>
        <w:ind w:left="993"/>
      </w:pPr>
      <w:r w:rsidRPr="00346FEC">
        <w:t>Use of time-weighted rate of return - The time-weighted rate of return overcomes the basic problem associated with money-weighted rates of return. Theoretically, it is usable as a basis for comparing different investment managers because the timing and size of cashflows will not distort the rates calculated.</w:t>
      </w:r>
    </w:p>
    <w:p w14:paraId="128E643A" w14:textId="77777777" w:rsidR="00FC7FCE" w:rsidRPr="00346FEC" w:rsidRDefault="00FC7FCE" w:rsidP="00FC7FCE">
      <w:pPr>
        <w:pStyle w:val="ListParagraph"/>
        <w:numPr>
          <w:ilvl w:val="2"/>
          <w:numId w:val="1"/>
        </w:numPr>
        <w:ind w:left="993"/>
      </w:pPr>
      <w:r w:rsidRPr="00346FEC">
        <w:t>Weakness of linked internal rate of return – its main weakness is that it doesn’t give the rate of return actually earned on the assets over the period.</w:t>
      </w:r>
    </w:p>
    <w:p w14:paraId="7BA7C714" w14:textId="77777777" w:rsidR="00FC7FCE" w:rsidRPr="00346FEC" w:rsidRDefault="00FC7FCE" w:rsidP="00FC7FCE">
      <w:pPr>
        <w:pStyle w:val="ListParagraph"/>
      </w:pPr>
    </w:p>
    <w:p w14:paraId="1669D88B" w14:textId="15B92F79" w:rsidR="00FC7FCE" w:rsidRPr="00346FEC" w:rsidRDefault="00FC7FCE">
      <w:r w:rsidRPr="00346FEC">
        <w:t>4)</w:t>
      </w:r>
    </w:p>
    <w:p w14:paraId="4EC91238" w14:textId="64322C04" w:rsidR="00FC7FCE" w:rsidRPr="00346FEC" w:rsidRDefault="00FC7FCE" w:rsidP="00FC7FCE">
      <w:r w:rsidRPr="00346FEC">
        <w:t>Shortfall probability: Shortfall risk is the possibility that a portfolio may not outperform the</w:t>
      </w:r>
      <w:r w:rsidRPr="00346FEC">
        <w:t xml:space="preserve"> </w:t>
      </w:r>
      <w:r w:rsidRPr="00346FEC">
        <w:t>minimal (benchmark) return set by an investor. In other words, it is the risk that a portfolio may fall short of the level of return that an investor considers acceptable.</w:t>
      </w:r>
    </w:p>
    <w:p w14:paraId="1B3A670A" w14:textId="710167EA" w:rsidR="00FC7FCE" w:rsidRPr="00346FEC" w:rsidRDefault="00FC7FCE" w:rsidP="00FC7FCE">
      <w:pPr>
        <w:rPr>
          <w:rFonts w:cstheme="minorHAnsi"/>
          <w:spacing w:val="1"/>
          <w:shd w:val="clear" w:color="auto" w:fill="FFFFFF"/>
        </w:rPr>
      </w:pPr>
      <w:r w:rsidRPr="00346FEC">
        <w:t xml:space="preserve">Expected shortfall: </w:t>
      </w:r>
      <w:r w:rsidRPr="00346FEC">
        <w:rPr>
          <w:rFonts w:cstheme="minorHAnsi"/>
          <w:spacing w:val="1"/>
          <w:shd w:val="clear" w:color="auto" w:fill="FFFFFF"/>
        </w:rPr>
        <w:t>is a risk assessment measure that quantifies the amount of</w:t>
      </w:r>
      <w:r w:rsidRPr="00346FEC">
        <w:rPr>
          <w:rFonts w:cstheme="minorHAnsi"/>
          <w:spacing w:val="1"/>
          <w:shd w:val="clear" w:color="auto" w:fill="FFFFFF"/>
        </w:rPr>
        <w:t xml:space="preserve"> tail risk</w:t>
      </w:r>
      <w:r w:rsidRPr="00346FEC">
        <w:rPr>
          <w:rFonts w:cstheme="minorHAnsi"/>
          <w:spacing w:val="1"/>
          <w:shd w:val="clear" w:color="auto" w:fill="FFFFFF"/>
        </w:rPr>
        <w:t xml:space="preserve"> an investment portfolio has. </w:t>
      </w:r>
      <w:proofErr w:type="spellStart"/>
      <w:r w:rsidRPr="00346FEC">
        <w:rPr>
          <w:rFonts w:cstheme="minorHAnsi"/>
          <w:spacing w:val="1"/>
          <w:shd w:val="clear" w:color="auto" w:fill="FFFFFF"/>
        </w:rPr>
        <w:t>CVaR</w:t>
      </w:r>
      <w:proofErr w:type="spellEnd"/>
      <w:r w:rsidRPr="00346FEC">
        <w:rPr>
          <w:rFonts w:cstheme="minorHAnsi"/>
          <w:spacing w:val="1"/>
          <w:shd w:val="clear" w:color="auto" w:fill="FFFFFF"/>
        </w:rPr>
        <w:t xml:space="preserve"> is derived by taking a weighted average of the “extreme” losses in the tail of the distribution of possible returns, beyond the </w:t>
      </w:r>
      <w:r w:rsidRPr="00346FEC">
        <w:t>value at risk</w:t>
      </w:r>
      <w:r w:rsidRPr="00346FEC">
        <w:rPr>
          <w:rFonts w:cstheme="minorHAnsi"/>
          <w:spacing w:val="1"/>
          <w:shd w:val="clear" w:color="auto" w:fill="FFFFFF"/>
        </w:rPr>
        <w:t> (</w:t>
      </w:r>
      <w:proofErr w:type="spellStart"/>
      <w:r w:rsidRPr="00346FEC">
        <w:rPr>
          <w:rFonts w:cstheme="minorHAnsi"/>
          <w:spacing w:val="1"/>
          <w:shd w:val="clear" w:color="auto" w:fill="FFFFFF"/>
        </w:rPr>
        <w:t>VaR</w:t>
      </w:r>
      <w:proofErr w:type="spellEnd"/>
      <w:r w:rsidRPr="00346FEC">
        <w:rPr>
          <w:rFonts w:cstheme="minorHAnsi"/>
          <w:spacing w:val="1"/>
          <w:shd w:val="clear" w:color="auto" w:fill="FFFFFF"/>
        </w:rPr>
        <w:t>) cut</w:t>
      </w:r>
      <w:r w:rsidRPr="00346FEC">
        <w:rPr>
          <w:rFonts w:cstheme="minorHAnsi"/>
          <w:spacing w:val="1"/>
          <w:shd w:val="clear" w:color="auto" w:fill="FFFFFF"/>
        </w:rPr>
        <w:t xml:space="preserve"> </w:t>
      </w:r>
      <w:r w:rsidRPr="00346FEC">
        <w:rPr>
          <w:rFonts w:cstheme="minorHAnsi"/>
          <w:spacing w:val="1"/>
          <w:shd w:val="clear" w:color="auto" w:fill="FFFFFF"/>
        </w:rPr>
        <w:t>off point. Conditional value at risk is used in portfolio optimization for effective risk management.</w:t>
      </w:r>
    </w:p>
    <w:p w14:paraId="5DFC7A43" w14:textId="39EB38BA" w:rsidR="00FC7FCE" w:rsidRPr="00346FEC" w:rsidRDefault="00FC7FCE" w:rsidP="00FC7FCE">
      <w:pPr>
        <w:pStyle w:val="ListParagraph"/>
      </w:pPr>
    </w:p>
    <w:p w14:paraId="4671B196" w14:textId="729EF05B" w:rsidR="00FC7FCE" w:rsidRPr="00346FEC" w:rsidRDefault="00FC7FCE" w:rsidP="00FC7FCE">
      <w:r w:rsidRPr="00346FEC">
        <w:t>5)</w:t>
      </w:r>
    </w:p>
    <w:p w14:paraId="0FEC0FFD" w14:textId="12B6938C" w:rsidR="00FC7FCE" w:rsidRPr="00346FEC" w:rsidRDefault="00FC7FCE" w:rsidP="00FC7FCE">
      <w:r w:rsidRPr="00346FEC">
        <w:t>Multifactor models can be used to estimate the appropriate expected return on a share given a set of risk factors and it’s estimated factor returns (the coefficients of the risk factors used in the model). The use of multi-factor model in active management is as follows</w:t>
      </w:r>
    </w:p>
    <w:p w14:paraId="270AE314" w14:textId="77777777" w:rsidR="00FC7FCE" w:rsidRPr="00346FEC" w:rsidRDefault="00FC7FCE" w:rsidP="00FC7FCE">
      <w:pPr>
        <w:pStyle w:val="ListParagraph"/>
        <w:numPr>
          <w:ilvl w:val="0"/>
          <w:numId w:val="4"/>
        </w:numPr>
      </w:pPr>
      <w:r w:rsidRPr="00346FEC">
        <w:t>If the expected return indicated by the multifactor model is lower than that indicated by the current share price the share appears cheap.</w:t>
      </w:r>
    </w:p>
    <w:p w14:paraId="7C54461C" w14:textId="77777777" w:rsidR="00FC7FCE" w:rsidRPr="00346FEC" w:rsidRDefault="00FC7FCE" w:rsidP="00FC7FCE">
      <w:pPr>
        <w:pStyle w:val="ListParagraph"/>
      </w:pPr>
      <w:r w:rsidRPr="00346FEC">
        <w:t>The use of multi-factor model in passive management is as follows:</w:t>
      </w:r>
    </w:p>
    <w:p w14:paraId="1C3BE68B" w14:textId="64F20597" w:rsidR="00FC7FCE" w:rsidRPr="00346FEC" w:rsidRDefault="00FC7FCE" w:rsidP="00FC7FCE">
      <w:pPr>
        <w:pStyle w:val="ListParagraph"/>
        <w:numPr>
          <w:ilvl w:val="0"/>
          <w:numId w:val="4"/>
        </w:numPr>
      </w:pPr>
      <w:r w:rsidRPr="00346FEC">
        <w:t>Multifactor models can also be used to identify and control the exposure of a portfolio to the different risk factors and to change the risk profile of the portfolio to better match the exposure of the liabilities.</w:t>
      </w:r>
    </w:p>
    <w:p w14:paraId="33CD586F" w14:textId="0D8CA2DE" w:rsidR="00FC7FCE" w:rsidRPr="00346FEC" w:rsidRDefault="00FC7FCE" w:rsidP="00FC7FCE">
      <w:r w:rsidRPr="00346FEC">
        <w:t>7)</w:t>
      </w:r>
    </w:p>
    <w:p w14:paraId="41CC388E" w14:textId="77777777" w:rsidR="00FC7FCE" w:rsidRPr="00346FEC" w:rsidRDefault="00FC7FCE" w:rsidP="00FC7FCE">
      <w:pPr>
        <w:spacing w:line="276" w:lineRule="auto"/>
        <w:jc w:val="both"/>
      </w:pPr>
      <w:r w:rsidRPr="00346FEC">
        <w:t xml:space="preserve">The risks that are incurred by extreme market events can be identified and investigated by the process of financial stress testing. This involves subjecting a portfolio to extreme market moves by radically </w:t>
      </w:r>
      <w:r w:rsidRPr="00346FEC">
        <w:lastRenderedPageBreak/>
        <w:t>changing the underlying portfolio assumptions and characteristics, to gain insight into portfolio sensitivities to predefined risk factors. This pertains to asset correlations and volatilities. There are two types of stress test:</w:t>
      </w:r>
    </w:p>
    <w:p w14:paraId="52A2833D" w14:textId="77777777" w:rsidR="00FC7FCE" w:rsidRPr="00346FEC" w:rsidRDefault="00FC7FCE" w:rsidP="00FC7FCE">
      <w:pPr>
        <w:pStyle w:val="ListParagraph"/>
        <w:spacing w:line="276" w:lineRule="auto"/>
        <w:jc w:val="both"/>
      </w:pPr>
    </w:p>
    <w:p w14:paraId="3F91AB54" w14:textId="77777777" w:rsidR="00FC7FCE" w:rsidRPr="00346FEC" w:rsidRDefault="00FC7FCE" w:rsidP="00FC7FCE">
      <w:pPr>
        <w:pStyle w:val="ListParagraph"/>
        <w:numPr>
          <w:ilvl w:val="0"/>
          <w:numId w:val="6"/>
        </w:numPr>
        <w:spacing w:line="276" w:lineRule="auto"/>
        <w:ind w:left="993" w:hanging="284"/>
        <w:jc w:val="both"/>
      </w:pPr>
      <w:r w:rsidRPr="00346FEC">
        <w:t>To identify “weak areas” in the portfolio and investigate the effects of localized stress situations by looking at the effect of different combinations of correlations and volatilities.</w:t>
      </w:r>
    </w:p>
    <w:p w14:paraId="52668C22" w14:textId="77777777" w:rsidR="00FC7FCE" w:rsidRPr="00346FEC" w:rsidRDefault="00FC7FCE" w:rsidP="00FC7FCE">
      <w:pPr>
        <w:pStyle w:val="ListParagraph"/>
        <w:spacing w:line="276" w:lineRule="auto"/>
        <w:ind w:left="993"/>
        <w:jc w:val="both"/>
      </w:pPr>
    </w:p>
    <w:p w14:paraId="431ACD4B" w14:textId="77777777" w:rsidR="00FC7FCE" w:rsidRPr="00346FEC" w:rsidRDefault="00FC7FCE" w:rsidP="00FC7FCE">
      <w:pPr>
        <w:pStyle w:val="ListParagraph"/>
        <w:numPr>
          <w:ilvl w:val="0"/>
          <w:numId w:val="6"/>
        </w:numPr>
        <w:spacing w:line="276" w:lineRule="auto"/>
        <w:ind w:left="993" w:hanging="284"/>
        <w:jc w:val="both"/>
      </w:pPr>
      <w:r w:rsidRPr="00346FEC">
        <w:t>To gauge the impact of major market turmoil affecting all model parameters, while ensuring consistency between correlations while they are “stressed”.</w:t>
      </w:r>
    </w:p>
    <w:p w14:paraId="76428106" w14:textId="223A23EB" w:rsidR="00FC7FCE" w:rsidRPr="00346FEC" w:rsidRDefault="00FC7FCE" w:rsidP="00FC7FCE">
      <w:pPr>
        <w:spacing w:line="276" w:lineRule="auto"/>
        <w:jc w:val="both"/>
      </w:pPr>
      <w:r w:rsidRPr="00346FEC">
        <w:t>A major part of establishing a comprehensive stress testing framework should therefore focus on constructing stress test scenarios that apply to the specific portfolio. These scenarios should be tailored to reveal weaknesses in the portfolio structure in terms of risk exposure and sensitivity and should this focus on the risk factors that the portfolio is most exposed to.</w:t>
      </w:r>
    </w:p>
    <w:p w14:paraId="778F832A" w14:textId="2B80B807" w:rsidR="00FC7FCE" w:rsidRPr="00346FEC" w:rsidRDefault="00FC7FCE" w:rsidP="00FC7FCE">
      <w:pPr>
        <w:spacing w:line="276" w:lineRule="auto"/>
        <w:jc w:val="both"/>
      </w:pPr>
      <w:r w:rsidRPr="00346FEC">
        <w:t>8)</w:t>
      </w:r>
    </w:p>
    <w:p w14:paraId="35E5D579" w14:textId="112946D8" w:rsidR="00FC7FCE" w:rsidRPr="00346FEC" w:rsidRDefault="00FC7FCE" w:rsidP="00FC7FCE">
      <w:pPr>
        <w:spacing w:line="276" w:lineRule="auto"/>
        <w:jc w:val="both"/>
      </w:pPr>
      <w:r w:rsidRPr="00346FEC">
        <w:t xml:space="preserve">The main type of hedge fund that the pension fund could invest in are as follows:   </w:t>
      </w:r>
    </w:p>
    <w:p w14:paraId="4D3B6616" w14:textId="77777777" w:rsidR="00FC7FCE" w:rsidRPr="00346FEC" w:rsidRDefault="00FC7FCE" w:rsidP="00FC7FCE">
      <w:pPr>
        <w:pStyle w:val="ListParagraph"/>
        <w:spacing w:line="276" w:lineRule="auto"/>
        <w:ind w:left="993"/>
        <w:jc w:val="both"/>
      </w:pPr>
    </w:p>
    <w:p w14:paraId="6F424F7C" w14:textId="00D3CB9B" w:rsidR="00FC7FCE" w:rsidRPr="00346FEC" w:rsidRDefault="00FC7FCE" w:rsidP="00346FEC">
      <w:pPr>
        <w:pStyle w:val="ListParagraph"/>
        <w:numPr>
          <w:ilvl w:val="1"/>
          <w:numId w:val="7"/>
        </w:numPr>
        <w:spacing w:line="276" w:lineRule="auto"/>
        <w:ind w:left="993" w:hanging="284"/>
        <w:jc w:val="both"/>
      </w:pPr>
      <w:r w:rsidRPr="00346FEC">
        <w:t xml:space="preserve">Fixed Income Arbitrage Hedge Funds: Fixed income arbitrage funds attempt to obtain profits by exploiting inefficiencies and price anomalies between related fixed income securities. Hedge funds that employ Fixed Income Arbitrage strategy are suitable for pension funds. This is due to the fact that the fund manager tries to limit volatility by hedging exposure to interest rate risk. </w:t>
      </w:r>
    </w:p>
    <w:p w14:paraId="658C56F2" w14:textId="0AA25D4D" w:rsidR="00FC7FCE" w:rsidRPr="00346FEC" w:rsidRDefault="00FC7FCE" w:rsidP="00346FEC">
      <w:pPr>
        <w:pStyle w:val="ListParagraph"/>
        <w:numPr>
          <w:ilvl w:val="1"/>
          <w:numId w:val="7"/>
        </w:numPr>
        <w:spacing w:line="276" w:lineRule="auto"/>
        <w:ind w:left="993" w:hanging="284"/>
        <w:jc w:val="both"/>
      </w:pPr>
      <w:r w:rsidRPr="00346FEC">
        <w:t xml:space="preserve">Convertible Arbitrage Hedge Fund Strategy: The second type of hedge fund strategy suitable for pension fund is convertible arbitrage strategy. Convertible arbitrage funds attempt to profit from the purchase of convertible securities and the shorting of corresponding stock, taking advantage of a perceived pricing error made in the security's conversion factor. </w:t>
      </w:r>
    </w:p>
    <w:p w14:paraId="47A0A56A" w14:textId="56C7D375" w:rsidR="00FC7FCE" w:rsidRPr="00346FEC" w:rsidRDefault="00FC7FCE" w:rsidP="00346FEC">
      <w:pPr>
        <w:pStyle w:val="ListParagraph"/>
        <w:numPr>
          <w:ilvl w:val="1"/>
          <w:numId w:val="7"/>
        </w:numPr>
        <w:spacing w:line="276" w:lineRule="auto"/>
        <w:ind w:left="993" w:hanging="284"/>
        <w:jc w:val="both"/>
      </w:pPr>
      <w:r w:rsidRPr="00346FEC">
        <w:t xml:space="preserve">Long / Short Equity Strategy: Long/short equity funds take both long and short positions in the equity markets, diversifying or hedging across sectors, regions, or market capitalizations. </w:t>
      </w:r>
    </w:p>
    <w:p w14:paraId="299EA9EE" w14:textId="3768E098" w:rsidR="00FC7FCE" w:rsidRPr="00346FEC" w:rsidRDefault="00FC7FCE" w:rsidP="00346FEC">
      <w:pPr>
        <w:pStyle w:val="ListParagraph"/>
        <w:numPr>
          <w:ilvl w:val="1"/>
          <w:numId w:val="7"/>
        </w:numPr>
        <w:spacing w:line="276" w:lineRule="auto"/>
        <w:ind w:left="993" w:hanging="284"/>
        <w:jc w:val="both"/>
      </w:pPr>
      <w:r w:rsidRPr="00346FEC">
        <w:t xml:space="preserve">Emerging Markets: Emerging market funds invest in currencies, debt, equities, and other instruments in countries with emerging or developing markets. </w:t>
      </w:r>
    </w:p>
    <w:p w14:paraId="46E9D25F" w14:textId="77777777" w:rsidR="00FC7FCE" w:rsidRPr="00346FEC" w:rsidRDefault="00FC7FCE" w:rsidP="00FC7FCE">
      <w:pPr>
        <w:pStyle w:val="ListParagraph"/>
        <w:numPr>
          <w:ilvl w:val="1"/>
          <w:numId w:val="7"/>
        </w:numPr>
        <w:spacing w:line="276" w:lineRule="auto"/>
        <w:ind w:left="993" w:hanging="284"/>
        <w:jc w:val="both"/>
      </w:pPr>
      <w:r w:rsidRPr="00346FEC">
        <w:t xml:space="preserve">Equity Market Neutral: Another hedge fund strategy that the pension fund can invest in is the equity market neutral strategy. Equity market neutral describes an investment strategy where the manager attempts to exploit differences in stock prices by being long and short an equal amount in closely related stocks. </w:t>
      </w:r>
    </w:p>
    <w:p w14:paraId="13386839" w14:textId="77777777" w:rsidR="00FC7FCE" w:rsidRPr="00346FEC" w:rsidRDefault="00FC7FCE" w:rsidP="00FC7FCE">
      <w:pPr>
        <w:pStyle w:val="ListParagraph"/>
      </w:pPr>
    </w:p>
    <w:p w14:paraId="760300C9" w14:textId="77777777" w:rsidR="00FC7FCE" w:rsidRPr="00346FEC" w:rsidRDefault="00FC7FCE" w:rsidP="00FC7FCE">
      <w:pPr>
        <w:spacing w:line="276" w:lineRule="auto"/>
        <w:ind w:firstLine="709"/>
        <w:jc w:val="both"/>
      </w:pPr>
      <w:r w:rsidRPr="00346FEC">
        <w:t>The main investment characteristic of a hedge fund are as follows:</w:t>
      </w:r>
    </w:p>
    <w:p w14:paraId="3E0852CC" w14:textId="0310F9D5" w:rsidR="00FC7FCE" w:rsidRPr="00346FEC" w:rsidRDefault="00FC7FCE" w:rsidP="00346FEC">
      <w:pPr>
        <w:pStyle w:val="ListParagraph"/>
        <w:numPr>
          <w:ilvl w:val="0"/>
          <w:numId w:val="8"/>
        </w:numPr>
        <w:spacing w:line="276" w:lineRule="auto"/>
        <w:ind w:left="993" w:hanging="284"/>
        <w:jc w:val="both"/>
      </w:pPr>
      <w:r w:rsidRPr="00346FEC">
        <w:t>High Net-Worth Individuals: Only qualified or accredited investors can invest in hedge funds. They are mainly high net worth individuals (HNIs), banks, insurance companies, endowments and </w:t>
      </w:r>
      <w:r w:rsidR="00346FEC" w:rsidRPr="00346FEC">
        <w:t>pension funds.</w:t>
      </w:r>
      <w:r w:rsidRPr="00346FEC">
        <w:t> </w:t>
      </w:r>
    </w:p>
    <w:p w14:paraId="0AC2A6B2" w14:textId="77777777" w:rsidR="00346FEC" w:rsidRPr="00346FEC" w:rsidRDefault="00FC7FCE" w:rsidP="00346FEC">
      <w:pPr>
        <w:pStyle w:val="ListParagraph"/>
        <w:numPr>
          <w:ilvl w:val="0"/>
          <w:numId w:val="8"/>
        </w:numPr>
        <w:spacing w:line="276" w:lineRule="auto"/>
        <w:ind w:left="993" w:hanging="284"/>
        <w:jc w:val="both"/>
      </w:pPr>
      <w:r w:rsidRPr="00346FEC">
        <w:lastRenderedPageBreak/>
        <w:t>Diverse Portfolio: Hedge funds have a comprehensive </w:t>
      </w:r>
      <w:r w:rsidR="00346FEC" w:rsidRPr="00346FEC">
        <w:t>portfolio</w:t>
      </w:r>
      <w:r w:rsidRPr="00346FEC">
        <w:t> of investments ranging from currencies, derivatives, stocks, real estates, equities, and bonds.</w:t>
      </w:r>
    </w:p>
    <w:p w14:paraId="5787AE4E" w14:textId="77777777" w:rsidR="00346FEC" w:rsidRPr="00346FEC" w:rsidRDefault="00FC7FCE" w:rsidP="00346FEC">
      <w:pPr>
        <w:pStyle w:val="ListParagraph"/>
        <w:numPr>
          <w:ilvl w:val="0"/>
          <w:numId w:val="8"/>
        </w:numPr>
        <w:spacing w:line="276" w:lineRule="auto"/>
        <w:ind w:left="993" w:hanging="284"/>
        <w:jc w:val="both"/>
      </w:pPr>
      <w:r w:rsidRPr="00346FEC">
        <w:t>Higher Fees: Hedge funds have higher fees. Globally, it is ‘Two and Twenty’, meaning there is a 2% fixed fee and 20% of profits.</w:t>
      </w:r>
    </w:p>
    <w:p w14:paraId="5D35DBA5" w14:textId="4567CD3D" w:rsidR="00FC7FCE" w:rsidRPr="00346FEC" w:rsidRDefault="00FC7FCE" w:rsidP="00346FEC">
      <w:pPr>
        <w:pStyle w:val="ListParagraph"/>
        <w:numPr>
          <w:ilvl w:val="0"/>
          <w:numId w:val="8"/>
        </w:numPr>
        <w:spacing w:line="276" w:lineRule="auto"/>
        <w:ind w:left="993" w:hanging="284"/>
        <w:jc w:val="both"/>
      </w:pPr>
      <w:r w:rsidRPr="00346FEC">
        <w:t>Higher Risks: Hedge funds investment strategy can expose funds to huge losses. Lock-in period generally for investment is relatively long. Leverage used by these funds can turn investments into a significant loss.</w:t>
      </w:r>
    </w:p>
    <w:p w14:paraId="76382999" w14:textId="77777777" w:rsidR="00FC7FCE" w:rsidRPr="00346FEC" w:rsidRDefault="00FC7FCE" w:rsidP="00FC7FCE">
      <w:pPr>
        <w:spacing w:line="276" w:lineRule="auto"/>
        <w:ind w:left="709"/>
        <w:jc w:val="both"/>
      </w:pPr>
      <w:r w:rsidRPr="00346FEC">
        <w:t>One of the main shortcomings of a hedge fund is lack of credible performance data. The reasons behind this are as follows:</w:t>
      </w:r>
    </w:p>
    <w:p w14:paraId="63A0B88F" w14:textId="77777777" w:rsidR="00FC7FCE" w:rsidRPr="00346FEC" w:rsidRDefault="00FC7FCE" w:rsidP="00FC7FCE">
      <w:pPr>
        <w:pStyle w:val="ListParagraph"/>
        <w:numPr>
          <w:ilvl w:val="0"/>
          <w:numId w:val="9"/>
        </w:numPr>
        <w:spacing w:line="276" w:lineRule="auto"/>
        <w:ind w:left="993" w:hanging="284"/>
        <w:jc w:val="both"/>
      </w:pPr>
      <w:r w:rsidRPr="00346FEC">
        <w:t>Lack of regulation: Hedge funds are less regulated as compared to other institutions. Due to this, they are not bound by law or rules to publish data about their performance.</w:t>
      </w:r>
    </w:p>
    <w:p w14:paraId="376D8BD4" w14:textId="42CBD0F7" w:rsidR="00FC7FCE" w:rsidRPr="00346FEC" w:rsidRDefault="00FC7FCE" w:rsidP="00346FEC">
      <w:pPr>
        <w:pStyle w:val="ListParagraph"/>
        <w:numPr>
          <w:ilvl w:val="0"/>
          <w:numId w:val="9"/>
        </w:numPr>
        <w:spacing w:line="276" w:lineRule="auto"/>
        <w:ind w:left="993" w:hanging="284"/>
        <w:jc w:val="both"/>
      </w:pPr>
      <w:r w:rsidRPr="00346FEC">
        <w:t xml:space="preserve">Manipulation of performance returns: To gain more clients and retain existing ones, hedge funds manipulate their return data using various techniques. This makes it challenging to obtain credible data about their performance. </w:t>
      </w:r>
    </w:p>
    <w:p w14:paraId="7EE35D5A" w14:textId="078998E0" w:rsidR="00346FEC" w:rsidRPr="00346FEC" w:rsidRDefault="00FC7FCE" w:rsidP="00346FEC">
      <w:pPr>
        <w:pStyle w:val="ListParagraph"/>
        <w:numPr>
          <w:ilvl w:val="0"/>
          <w:numId w:val="9"/>
        </w:numPr>
        <w:spacing w:line="276" w:lineRule="auto"/>
        <w:ind w:left="993" w:hanging="284"/>
        <w:jc w:val="both"/>
      </w:pPr>
      <w:r w:rsidRPr="00346FEC">
        <w:t xml:space="preserve">Confidentiality and Secrecy: Hedge funds adhere to the highest norms and standards with respect to the confidentiality of their strategies, reports, etc. This poses a challenge for the public at large to obtain credible data about the performance of the hedge funds.     </w:t>
      </w:r>
    </w:p>
    <w:p w14:paraId="44BA7E59" w14:textId="5E345F0F" w:rsidR="00346FEC" w:rsidRPr="00346FEC" w:rsidRDefault="00346FEC" w:rsidP="00346FEC">
      <w:pPr>
        <w:spacing w:line="276" w:lineRule="auto"/>
        <w:jc w:val="both"/>
      </w:pPr>
      <w:r w:rsidRPr="00346FEC">
        <w:t xml:space="preserve">10) </w:t>
      </w:r>
    </w:p>
    <w:p w14:paraId="4802FC1B" w14:textId="201C75E4" w:rsidR="00FC7FCE" w:rsidRPr="00346FEC" w:rsidRDefault="00FC7FCE" w:rsidP="00346FEC">
      <w:pPr>
        <w:spacing w:line="276" w:lineRule="auto"/>
        <w:jc w:val="both"/>
      </w:pPr>
      <w:r w:rsidRPr="00346FEC">
        <w:t xml:space="preserve">There are various reasons why the performance of an investment portfolio will be measured. </w:t>
      </w:r>
    </w:p>
    <w:p w14:paraId="358E7C83" w14:textId="77777777" w:rsidR="00FC7FCE" w:rsidRPr="00346FEC" w:rsidRDefault="00FC7FCE" w:rsidP="00FC7FCE">
      <w:pPr>
        <w:pStyle w:val="ListParagraph"/>
        <w:numPr>
          <w:ilvl w:val="0"/>
          <w:numId w:val="11"/>
        </w:numPr>
        <w:spacing w:line="276" w:lineRule="auto"/>
        <w:jc w:val="both"/>
      </w:pPr>
      <w:r w:rsidRPr="00346FEC">
        <w:t xml:space="preserve">To improve future performance </w:t>
      </w:r>
    </w:p>
    <w:p w14:paraId="364B8C3A" w14:textId="77777777" w:rsidR="00FC7FCE" w:rsidRPr="00346FEC" w:rsidRDefault="00FC7FCE" w:rsidP="00FC7FCE">
      <w:pPr>
        <w:pStyle w:val="ListParagraph"/>
        <w:numPr>
          <w:ilvl w:val="0"/>
          <w:numId w:val="12"/>
        </w:numPr>
        <w:spacing w:line="276" w:lineRule="auto"/>
        <w:jc w:val="both"/>
      </w:pPr>
      <w:r w:rsidRPr="00346FEC">
        <w:t xml:space="preserve">First, data collected during performance monitoring can form the inputs for planning future strategy. </w:t>
      </w:r>
      <w:proofErr w:type="spellStart"/>
      <w:proofErr w:type="gramStart"/>
      <w:r w:rsidRPr="00346FEC">
        <w:t>ie</w:t>
      </w:r>
      <w:proofErr w:type="spellEnd"/>
      <w:proofErr w:type="gramEnd"/>
      <w:r w:rsidRPr="00346FEC">
        <w:t xml:space="preserve"> by finding out what has been successful in the past. investors should be better able to determine what might perform best in the future.</w:t>
      </w:r>
    </w:p>
    <w:p w14:paraId="0B4F505C" w14:textId="77777777" w:rsidR="00FC7FCE" w:rsidRPr="00346FEC" w:rsidRDefault="00FC7FCE" w:rsidP="00FC7FCE">
      <w:pPr>
        <w:pStyle w:val="ListParagraph"/>
        <w:numPr>
          <w:ilvl w:val="0"/>
          <w:numId w:val="12"/>
        </w:numPr>
        <w:spacing w:line="276" w:lineRule="auto"/>
        <w:jc w:val="both"/>
      </w:pPr>
      <w:r w:rsidRPr="00346FEC">
        <w:t xml:space="preserve">If fund managers know that their performance is being measured, it might give them an extra incentive to maximise the returns of the funds they manage. </w:t>
      </w:r>
    </w:p>
    <w:p w14:paraId="7CCA913D" w14:textId="77777777" w:rsidR="00FC7FCE" w:rsidRPr="00346FEC" w:rsidRDefault="00FC7FCE" w:rsidP="00FC7FCE">
      <w:pPr>
        <w:pStyle w:val="ListParagraph"/>
        <w:numPr>
          <w:ilvl w:val="0"/>
          <w:numId w:val="11"/>
        </w:numPr>
        <w:spacing w:line="276" w:lineRule="auto"/>
        <w:jc w:val="both"/>
      </w:pPr>
      <w:r w:rsidRPr="00346FEC">
        <w:t>Comparison of the rate achieved against a target rate</w:t>
      </w:r>
    </w:p>
    <w:p w14:paraId="0232DDBB" w14:textId="77777777" w:rsidR="00FC7FCE" w:rsidRPr="00346FEC" w:rsidRDefault="00FC7FCE" w:rsidP="00FC7FCE">
      <w:pPr>
        <w:pStyle w:val="ListParagraph"/>
        <w:numPr>
          <w:ilvl w:val="0"/>
          <w:numId w:val="13"/>
        </w:numPr>
        <w:spacing w:line="276" w:lineRule="auto"/>
        <w:jc w:val="both"/>
      </w:pPr>
      <w:r w:rsidRPr="00346FEC">
        <w:t xml:space="preserve">Many funds will have one or more larger rates of return. For example, the trustees of a pension fund will want to know the rate of return achieved on the investments compared with the rate of return assumed in the actuarial valuation. </w:t>
      </w:r>
    </w:p>
    <w:p w14:paraId="7470F91E" w14:textId="77777777" w:rsidR="00FC7FCE" w:rsidRPr="00346FEC" w:rsidRDefault="00FC7FCE" w:rsidP="00FC7FCE">
      <w:pPr>
        <w:pStyle w:val="ListParagraph"/>
        <w:numPr>
          <w:ilvl w:val="0"/>
          <w:numId w:val="13"/>
        </w:numPr>
        <w:spacing w:line="276" w:lineRule="auto"/>
        <w:jc w:val="both"/>
      </w:pPr>
      <w:r w:rsidRPr="00346FEC">
        <w:t>Similarly, the actuaries and managers of a life insurance company will need to know what rate of return has been achieved on the fund compared with the rate assumed in premium rate, bonus distribution and reserve calculations.</w:t>
      </w:r>
    </w:p>
    <w:p w14:paraId="2D11D7DB" w14:textId="77777777" w:rsidR="00FC7FCE" w:rsidRPr="00346FEC" w:rsidRDefault="00FC7FCE" w:rsidP="00FC7FCE">
      <w:pPr>
        <w:pStyle w:val="ListParagraph"/>
        <w:numPr>
          <w:ilvl w:val="0"/>
          <w:numId w:val="11"/>
        </w:numPr>
        <w:spacing w:line="276" w:lineRule="auto"/>
        <w:jc w:val="both"/>
      </w:pPr>
      <w:r w:rsidRPr="00346FEC">
        <w:t>Comparison against the performance of other portfolios, an index and/or a benchmark</w:t>
      </w:r>
    </w:p>
    <w:p w14:paraId="2092C2F4" w14:textId="77777777" w:rsidR="00FC7FCE" w:rsidRPr="00346FEC" w:rsidRDefault="00FC7FCE" w:rsidP="00FC7FCE">
      <w:pPr>
        <w:pStyle w:val="ListParagraph"/>
        <w:spacing w:line="276" w:lineRule="auto"/>
        <w:jc w:val="both"/>
      </w:pPr>
      <w:r w:rsidRPr="00346FEC">
        <w:t>portfolio</w:t>
      </w:r>
    </w:p>
    <w:p w14:paraId="394DCEAD" w14:textId="77777777" w:rsidR="00FC7FCE" w:rsidRPr="00346FEC" w:rsidRDefault="00FC7FCE" w:rsidP="00FC7FCE">
      <w:pPr>
        <w:pStyle w:val="ListParagraph"/>
        <w:numPr>
          <w:ilvl w:val="0"/>
          <w:numId w:val="14"/>
        </w:numPr>
        <w:spacing w:line="276" w:lineRule="auto"/>
        <w:jc w:val="both"/>
      </w:pPr>
      <w:r w:rsidRPr="00346FEC">
        <w:t xml:space="preserve">Those responsible for the funds will want to know how the performance of the portfolio compares with other portfolios. Based on this information, they can make decisions regarding the future investment of the assets. e.g., should a new fund manager be hired? </w:t>
      </w:r>
    </w:p>
    <w:p w14:paraId="78FE99FC" w14:textId="77777777" w:rsidR="00FC7FCE" w:rsidRPr="00346FEC" w:rsidRDefault="00FC7FCE" w:rsidP="00FC7FCE">
      <w:pPr>
        <w:pStyle w:val="ListParagraph"/>
        <w:numPr>
          <w:ilvl w:val="0"/>
          <w:numId w:val="14"/>
        </w:numPr>
        <w:spacing w:line="276" w:lineRule="auto"/>
        <w:jc w:val="both"/>
      </w:pPr>
      <w:r w:rsidRPr="00346FEC">
        <w:t xml:space="preserve">Also, by </w:t>
      </w:r>
      <w:proofErr w:type="spellStart"/>
      <w:r w:rsidRPr="00346FEC">
        <w:t>analyzing</w:t>
      </w:r>
      <w:proofErr w:type="spellEnd"/>
      <w:r w:rsidRPr="00346FEC">
        <w:t xml:space="preserve"> the performance against a notional portfolio, it may be possible to identify some relative strengths and/or weaknesses of individual fund managers leg in sector or stock selection). </w:t>
      </w:r>
    </w:p>
    <w:p w14:paraId="5A666244" w14:textId="77777777" w:rsidR="00FC7FCE" w:rsidRPr="00346FEC" w:rsidRDefault="00FC7FCE" w:rsidP="00FC7FCE">
      <w:pPr>
        <w:pStyle w:val="ListParagraph"/>
        <w:numPr>
          <w:ilvl w:val="0"/>
          <w:numId w:val="14"/>
        </w:numPr>
        <w:spacing w:line="276" w:lineRule="auto"/>
        <w:jc w:val="both"/>
      </w:pPr>
      <w:r w:rsidRPr="00346FEC">
        <w:lastRenderedPageBreak/>
        <w:t xml:space="preserve">There may also be other factors that depend on the performance of the fund. For example, the fees paid to the fund manager may be linked to the performance of the fund. </w:t>
      </w:r>
    </w:p>
    <w:p w14:paraId="24D49F26" w14:textId="77777777" w:rsidR="00FC7FCE" w:rsidRPr="00346FEC" w:rsidRDefault="00FC7FCE" w:rsidP="00FC7FCE">
      <w:pPr>
        <w:pStyle w:val="ListParagraph"/>
        <w:numPr>
          <w:ilvl w:val="0"/>
          <w:numId w:val="11"/>
        </w:numPr>
        <w:spacing w:line="276" w:lineRule="auto"/>
        <w:jc w:val="both"/>
      </w:pPr>
      <w:r w:rsidRPr="00346FEC">
        <w:t xml:space="preserve">To appraise and remunerate investment managers </w:t>
      </w:r>
    </w:p>
    <w:p w14:paraId="0BEA437C" w14:textId="77777777" w:rsidR="00FC7FCE" w:rsidRPr="00346FEC" w:rsidRDefault="00FC7FCE" w:rsidP="00FC7FCE">
      <w:pPr>
        <w:pStyle w:val="ListParagraph"/>
        <w:numPr>
          <w:ilvl w:val="0"/>
          <w:numId w:val="15"/>
        </w:numPr>
        <w:spacing w:line="276" w:lineRule="auto"/>
        <w:jc w:val="both"/>
      </w:pPr>
      <w:r w:rsidRPr="00346FEC">
        <w:t>Following from the above, performance measures can be used in the appraisal and remuneration of managers.</w:t>
      </w:r>
    </w:p>
    <w:p w14:paraId="352B94E2" w14:textId="77777777" w:rsidR="00FC7FCE" w:rsidRPr="00346FEC" w:rsidRDefault="00FC7FCE" w:rsidP="00FC7FCE">
      <w:pPr>
        <w:spacing w:line="276" w:lineRule="auto"/>
        <w:jc w:val="both"/>
      </w:pPr>
      <w:r w:rsidRPr="00346FEC">
        <w:t>(ii) There are several limitations and disadvantages of portfolio performance measurement.</w:t>
      </w:r>
    </w:p>
    <w:p w14:paraId="63FB7BB7" w14:textId="77777777" w:rsidR="00FC7FCE" w:rsidRPr="00346FEC" w:rsidRDefault="00FC7FCE" w:rsidP="00FC7FCE">
      <w:pPr>
        <w:pStyle w:val="ListParagraph"/>
        <w:numPr>
          <w:ilvl w:val="0"/>
          <w:numId w:val="16"/>
        </w:numPr>
        <w:spacing w:line="276" w:lineRule="auto"/>
        <w:jc w:val="both"/>
      </w:pPr>
      <w:r w:rsidRPr="00346FEC">
        <w:t>Projection of past results</w:t>
      </w:r>
    </w:p>
    <w:p w14:paraId="41C5FE9C" w14:textId="77777777" w:rsidR="00FC7FCE" w:rsidRPr="00346FEC" w:rsidRDefault="00FC7FCE" w:rsidP="00FC7FCE">
      <w:pPr>
        <w:pStyle w:val="ListParagraph"/>
        <w:numPr>
          <w:ilvl w:val="0"/>
          <w:numId w:val="17"/>
        </w:numPr>
        <w:spacing w:line="276" w:lineRule="auto"/>
        <w:jc w:val="both"/>
      </w:pPr>
      <w:r w:rsidRPr="00346FEC">
        <w:t>The fact that a particular result was attained in the past does not mean that it will occur in the future. There is a random element in investment returns and it may be difficult to determine how much a fund manager's results are due to method and how much to luck. Furthermore, a technique that proved successful in a particular set of circumstances may not work so well in changed circumstances in the future.</w:t>
      </w:r>
    </w:p>
    <w:p w14:paraId="63C58C6C" w14:textId="77777777" w:rsidR="00FC7FCE" w:rsidRPr="00346FEC" w:rsidRDefault="00FC7FCE" w:rsidP="00FC7FCE">
      <w:pPr>
        <w:pStyle w:val="ListParagraph"/>
        <w:numPr>
          <w:ilvl w:val="0"/>
          <w:numId w:val="17"/>
        </w:numPr>
        <w:spacing w:line="276" w:lineRule="auto"/>
        <w:jc w:val="both"/>
      </w:pPr>
      <w:r w:rsidRPr="00346FEC">
        <w:t>So, past performance may be a poor guide to the future, and it may not be easy to distinguish good luck from skill.</w:t>
      </w:r>
    </w:p>
    <w:p w14:paraId="2CA8FEB3" w14:textId="77777777" w:rsidR="00FC7FCE" w:rsidRPr="00346FEC" w:rsidRDefault="00FC7FCE" w:rsidP="00FC7FCE">
      <w:pPr>
        <w:pStyle w:val="ListParagraph"/>
        <w:numPr>
          <w:ilvl w:val="0"/>
          <w:numId w:val="16"/>
        </w:numPr>
        <w:spacing w:line="276" w:lineRule="auto"/>
        <w:jc w:val="both"/>
      </w:pPr>
      <w:r w:rsidRPr="00346FEC">
        <w:t>Risk</w:t>
      </w:r>
    </w:p>
    <w:p w14:paraId="6A3FEF58" w14:textId="77777777" w:rsidR="00FC7FCE" w:rsidRPr="00346FEC" w:rsidRDefault="00FC7FCE" w:rsidP="00FC7FCE">
      <w:pPr>
        <w:pStyle w:val="ListParagraph"/>
        <w:numPr>
          <w:ilvl w:val="0"/>
          <w:numId w:val="18"/>
        </w:numPr>
        <w:spacing w:line="276" w:lineRule="auto"/>
        <w:jc w:val="both"/>
      </w:pPr>
      <w:r w:rsidRPr="00346FEC">
        <w:t>In the long term we would expect a riskier strategy to produce higher average returns. The measurement of relative performance should therefore take account of the degree of risk taken on by a fund manager.</w:t>
      </w:r>
    </w:p>
    <w:p w14:paraId="31CDE666" w14:textId="77777777" w:rsidR="00FC7FCE" w:rsidRPr="00346FEC" w:rsidRDefault="00FC7FCE" w:rsidP="00FC7FCE">
      <w:pPr>
        <w:pStyle w:val="ListParagraph"/>
        <w:numPr>
          <w:ilvl w:val="0"/>
          <w:numId w:val="18"/>
        </w:numPr>
        <w:spacing w:line="276" w:lineRule="auto"/>
        <w:jc w:val="both"/>
      </w:pPr>
      <w:r w:rsidRPr="00346FEC">
        <w:t xml:space="preserve">When a fund manager invests largely in high-risk investments. there are likely to be implications for the relative performance of the fund manager in performance measurement tables: </w:t>
      </w:r>
      <w:r w:rsidRPr="00346FEC">
        <w:sym w:font="Symbol" w:char="F0D8"/>
      </w:r>
      <w:r w:rsidRPr="00346FEC">
        <w:t xml:space="preserve"> In the very long term, the manager should achieve a higher rate of return. </w:t>
      </w:r>
      <w:r w:rsidRPr="00346FEC">
        <w:sym w:font="Symbol" w:char="F0D8"/>
      </w:r>
      <w:r w:rsidRPr="00346FEC">
        <w:t xml:space="preserve"> In short-term periods. the results will probably be more volatile. There may be some periods of excellent results and other periods of very poor results.</w:t>
      </w:r>
    </w:p>
    <w:p w14:paraId="430CB251" w14:textId="77777777" w:rsidR="00FC7FCE" w:rsidRPr="00346FEC" w:rsidRDefault="00FC7FCE" w:rsidP="00FC7FCE">
      <w:pPr>
        <w:pStyle w:val="ListParagraph"/>
        <w:numPr>
          <w:ilvl w:val="0"/>
          <w:numId w:val="16"/>
        </w:numPr>
        <w:spacing w:line="276" w:lineRule="auto"/>
        <w:jc w:val="both"/>
      </w:pPr>
      <w:r w:rsidRPr="00346FEC">
        <w:t>Timescale</w:t>
      </w:r>
    </w:p>
    <w:p w14:paraId="5921B068" w14:textId="77777777" w:rsidR="00FC7FCE" w:rsidRPr="00346FEC" w:rsidRDefault="00FC7FCE" w:rsidP="00FC7FCE">
      <w:pPr>
        <w:pStyle w:val="ListParagraph"/>
        <w:numPr>
          <w:ilvl w:val="0"/>
          <w:numId w:val="19"/>
        </w:numPr>
        <w:spacing w:line="276" w:lineRule="auto"/>
        <w:jc w:val="both"/>
      </w:pPr>
      <w:r w:rsidRPr="00346FEC">
        <w:t>Determining the frequency of performance measurement calculations requires a delicate balance between assessing performance frequently enough so that problems can be spotted and corrected and avoiding spurious conclusions based on too short a measurement period.</w:t>
      </w:r>
    </w:p>
    <w:p w14:paraId="7C795D98" w14:textId="77777777" w:rsidR="00FC7FCE" w:rsidRPr="00346FEC" w:rsidRDefault="00FC7FCE" w:rsidP="00FC7FCE">
      <w:pPr>
        <w:pStyle w:val="ListParagraph"/>
        <w:numPr>
          <w:ilvl w:val="0"/>
          <w:numId w:val="19"/>
        </w:numPr>
        <w:spacing w:line="276" w:lineRule="auto"/>
        <w:jc w:val="both"/>
      </w:pPr>
      <w:r w:rsidRPr="00346FEC">
        <w:t>It might take five years to obtain data that gives a reliable verdict on a particular fund manager. However. the trustees of a pension fund should not have to wait for five years before they realize that the assets are being poorly managed.</w:t>
      </w:r>
    </w:p>
    <w:p w14:paraId="57088BED" w14:textId="77777777" w:rsidR="00FC7FCE" w:rsidRPr="00346FEC" w:rsidRDefault="00FC7FCE" w:rsidP="00FC7FCE">
      <w:pPr>
        <w:pStyle w:val="ListParagraph"/>
        <w:numPr>
          <w:ilvl w:val="0"/>
          <w:numId w:val="19"/>
        </w:numPr>
        <w:spacing w:line="276" w:lineRule="auto"/>
        <w:jc w:val="both"/>
      </w:pPr>
      <w:r w:rsidRPr="00346FEC">
        <w:t>In practice. may pension fund investment valuations are carried out each quarter, with analyses over a variety of periods (e.g., 3 months, 1 year. 3 y ears. 5 years, 10 years).</w:t>
      </w:r>
    </w:p>
    <w:p w14:paraId="7DECD8BD" w14:textId="77777777" w:rsidR="00FC7FCE" w:rsidRPr="00346FEC" w:rsidRDefault="00FC7FCE" w:rsidP="00FC7FCE">
      <w:pPr>
        <w:pStyle w:val="ListParagraph"/>
        <w:numPr>
          <w:ilvl w:val="0"/>
          <w:numId w:val="19"/>
        </w:numPr>
        <w:spacing w:line="276" w:lineRule="auto"/>
        <w:jc w:val="both"/>
      </w:pPr>
      <w:r w:rsidRPr="00346FEC">
        <w:t xml:space="preserve">The users of these analyses therefore have: </w:t>
      </w:r>
      <w:r w:rsidRPr="00346FEC">
        <w:sym w:font="Symbol" w:char="F0D8"/>
      </w:r>
      <w:r w:rsidRPr="00346FEC">
        <w:t xml:space="preserve"> the regular data they need to stay informed </w:t>
      </w:r>
      <w:r w:rsidRPr="00346FEC">
        <w:sym w:font="Symbol" w:char="F0D8"/>
      </w:r>
      <w:r w:rsidRPr="00346FEC">
        <w:t xml:space="preserve"> the longer-term data to help make judgements.</w:t>
      </w:r>
    </w:p>
    <w:p w14:paraId="0243BC1B" w14:textId="77777777" w:rsidR="00FC7FCE" w:rsidRPr="00346FEC" w:rsidRDefault="00FC7FCE" w:rsidP="00FC7FCE">
      <w:pPr>
        <w:pStyle w:val="ListParagraph"/>
        <w:numPr>
          <w:ilvl w:val="0"/>
          <w:numId w:val="19"/>
        </w:numPr>
        <w:spacing w:line="276" w:lineRule="auto"/>
        <w:jc w:val="both"/>
      </w:pPr>
      <w:r w:rsidRPr="00346FEC">
        <w:t>They should resist the temptation of making bold conclusions from the very short-term data.</w:t>
      </w:r>
    </w:p>
    <w:p w14:paraId="7B940B95" w14:textId="77777777" w:rsidR="00FC7FCE" w:rsidRPr="00346FEC" w:rsidRDefault="00FC7FCE" w:rsidP="00FC7FCE">
      <w:pPr>
        <w:pStyle w:val="ListParagraph"/>
        <w:numPr>
          <w:ilvl w:val="0"/>
          <w:numId w:val="16"/>
        </w:numPr>
        <w:spacing w:line="276" w:lineRule="auto"/>
        <w:jc w:val="both"/>
      </w:pPr>
      <w:r w:rsidRPr="00346FEC">
        <w:t>Differing fund objectives</w:t>
      </w:r>
    </w:p>
    <w:p w14:paraId="798D40AC" w14:textId="77777777" w:rsidR="00FC7FCE" w:rsidRPr="00346FEC" w:rsidRDefault="00FC7FCE" w:rsidP="00FC7FCE">
      <w:pPr>
        <w:pStyle w:val="ListParagraph"/>
        <w:numPr>
          <w:ilvl w:val="0"/>
          <w:numId w:val="20"/>
        </w:numPr>
        <w:spacing w:line="276" w:lineRule="auto"/>
        <w:jc w:val="both"/>
      </w:pPr>
      <w:r w:rsidRPr="00346FEC">
        <w:t>Different funds may have different objectives and constraints. Comparisons between such funds may not be valid.</w:t>
      </w:r>
    </w:p>
    <w:p w14:paraId="3AF70CD5" w14:textId="77777777" w:rsidR="00FC7FCE" w:rsidRPr="00346FEC" w:rsidRDefault="00FC7FCE" w:rsidP="00FC7FCE">
      <w:pPr>
        <w:pStyle w:val="ListParagraph"/>
        <w:numPr>
          <w:ilvl w:val="0"/>
          <w:numId w:val="20"/>
        </w:numPr>
        <w:spacing w:line="276" w:lineRule="auto"/>
        <w:jc w:val="both"/>
      </w:pPr>
      <w:r w:rsidRPr="00346FEC">
        <w:t xml:space="preserve">The main difference will often be that the liabilities underlying one fund may differ from those underlying another. There may also be other reasons why different funds </w:t>
      </w:r>
      <w:r w:rsidRPr="00346FEC">
        <w:lastRenderedPageBreak/>
        <w:t xml:space="preserve">cannot be directly compared: </w:t>
      </w:r>
      <w:r w:rsidRPr="00346FEC">
        <w:sym w:font="Symbol" w:char="F0D8"/>
      </w:r>
      <w:r w:rsidRPr="00346FEC">
        <w:t xml:space="preserve"> different constraints imposed by the directors or trustees </w:t>
      </w:r>
      <w:r w:rsidRPr="00346FEC">
        <w:sym w:font="Symbol" w:char="F0D8"/>
      </w:r>
      <w:r w:rsidRPr="00346FEC">
        <w:t xml:space="preserve"> different taxation positions (e.g., this may apply for insurance companies where the tax positions may vary from one office to another).</w:t>
      </w:r>
    </w:p>
    <w:p w14:paraId="32B41515" w14:textId="77777777" w:rsidR="00FC7FCE" w:rsidRPr="00346FEC" w:rsidRDefault="00FC7FCE" w:rsidP="00FC7FCE">
      <w:pPr>
        <w:pStyle w:val="ListParagraph"/>
        <w:numPr>
          <w:ilvl w:val="0"/>
          <w:numId w:val="20"/>
        </w:numPr>
        <w:spacing w:line="276" w:lineRule="auto"/>
        <w:jc w:val="both"/>
      </w:pPr>
      <w:r w:rsidRPr="00346FEC">
        <w:t>Comparisons between different unit-linked funds and collective investment vehicles is clearly sensible only if they have similar investment objectives.</w:t>
      </w:r>
    </w:p>
    <w:p w14:paraId="419987F7" w14:textId="77777777" w:rsidR="00FC7FCE" w:rsidRPr="00346FEC" w:rsidRDefault="00FC7FCE" w:rsidP="00FC7FCE">
      <w:pPr>
        <w:pStyle w:val="ListParagraph"/>
        <w:numPr>
          <w:ilvl w:val="0"/>
          <w:numId w:val="20"/>
        </w:numPr>
        <w:spacing w:line="276" w:lineRule="auto"/>
        <w:jc w:val="both"/>
      </w:pPr>
      <w:r w:rsidRPr="00346FEC">
        <w:t>You may also come across "different cashflow" and "different size of fund" as reasons why different funds cannot be validly compared. In practice. these two factors should not really invalidate comparison between the investment returns achieved by different.</w:t>
      </w:r>
    </w:p>
    <w:p w14:paraId="3A01F78E" w14:textId="77777777" w:rsidR="00FC7FCE" w:rsidRPr="00346FEC" w:rsidRDefault="00FC7FCE" w:rsidP="00FC7FCE">
      <w:pPr>
        <w:pStyle w:val="ListParagraph"/>
        <w:numPr>
          <w:ilvl w:val="0"/>
          <w:numId w:val="16"/>
        </w:numPr>
        <w:spacing w:line="276" w:lineRule="auto"/>
        <w:jc w:val="both"/>
      </w:pPr>
      <w:r w:rsidRPr="00346FEC">
        <w:t>Impact on fund manager behaviour</w:t>
      </w:r>
    </w:p>
    <w:p w14:paraId="7882E0D8" w14:textId="77777777" w:rsidR="00FC7FCE" w:rsidRPr="00346FEC" w:rsidRDefault="00FC7FCE" w:rsidP="00FC7FCE">
      <w:pPr>
        <w:pStyle w:val="ListParagraph"/>
        <w:numPr>
          <w:ilvl w:val="0"/>
          <w:numId w:val="21"/>
        </w:numPr>
        <w:spacing w:line="276" w:lineRule="auto"/>
        <w:jc w:val="both"/>
      </w:pPr>
      <w:r w:rsidRPr="00346FEC">
        <w:t>Knowledge of how and how often he will be assessed is likely to influence the investment strategy of a manager. This may not be in the fund's best interests. For example, frequent monitoring can encourage a short-term approach to investment.</w:t>
      </w:r>
    </w:p>
    <w:p w14:paraId="4FF8ABA3" w14:textId="77777777" w:rsidR="00FC7FCE" w:rsidRPr="00346FEC" w:rsidRDefault="00FC7FCE" w:rsidP="00FC7FCE">
      <w:pPr>
        <w:pStyle w:val="ListParagraph"/>
        <w:numPr>
          <w:ilvl w:val="0"/>
          <w:numId w:val="21"/>
        </w:numPr>
        <w:spacing w:line="276" w:lineRule="auto"/>
        <w:jc w:val="both"/>
      </w:pPr>
      <w:r w:rsidRPr="00346FEC">
        <w:t>Some people will argue that this may mean that the long-term performance of the fund could be sacrificed. Others would argue that it is not a problem because the long run is simply a series of short runs.</w:t>
      </w:r>
    </w:p>
    <w:p w14:paraId="11DD7F15" w14:textId="77777777" w:rsidR="00FC7FCE" w:rsidRPr="00346FEC" w:rsidRDefault="00FC7FCE" w:rsidP="00FC7FCE">
      <w:pPr>
        <w:pStyle w:val="ListParagraph"/>
        <w:numPr>
          <w:ilvl w:val="0"/>
          <w:numId w:val="21"/>
        </w:numPr>
        <w:spacing w:line="276" w:lineRule="auto"/>
        <w:jc w:val="both"/>
      </w:pPr>
      <w:r w:rsidRPr="00346FEC">
        <w:t>More generally, the investment management decisions should be driven entirely a desire to meet the investor's objectives. It is therefore important to ensure that the mandate given to the investment manager is consistent with the investor's objectives.</w:t>
      </w:r>
    </w:p>
    <w:p w14:paraId="79610D8F" w14:textId="77777777" w:rsidR="00FC7FCE" w:rsidRPr="00346FEC" w:rsidRDefault="00FC7FCE" w:rsidP="00FC7FCE">
      <w:pPr>
        <w:pStyle w:val="ListParagraph"/>
        <w:numPr>
          <w:ilvl w:val="0"/>
          <w:numId w:val="16"/>
        </w:numPr>
        <w:spacing w:line="276" w:lineRule="auto"/>
        <w:jc w:val="both"/>
      </w:pPr>
      <w:r w:rsidRPr="00346FEC">
        <w:t xml:space="preserve">Cost </w:t>
      </w:r>
    </w:p>
    <w:p w14:paraId="1B522B5A" w14:textId="77777777" w:rsidR="00FC7FCE" w:rsidRPr="00346FEC" w:rsidRDefault="00FC7FCE" w:rsidP="00FC7FCE">
      <w:pPr>
        <w:pStyle w:val="ListParagraph"/>
        <w:numPr>
          <w:ilvl w:val="0"/>
          <w:numId w:val="22"/>
        </w:numPr>
        <w:spacing w:line="276" w:lineRule="auto"/>
        <w:jc w:val="both"/>
      </w:pPr>
      <w:r w:rsidRPr="00346FEC">
        <w:t>Users of performance measurement services must balance the value of the service against the cost. Also, for several assets leg property), valuation is difficult, time-consuming, and very subjective. Detailed, frequent calculations based on subjective valuations are inappropriate.</w:t>
      </w:r>
    </w:p>
    <w:p w14:paraId="3A55CDAC" w14:textId="77777777" w:rsidR="00FC7FCE" w:rsidRPr="00346FEC" w:rsidRDefault="00FC7FCE" w:rsidP="00FC7FCE">
      <w:pPr>
        <w:spacing w:line="276" w:lineRule="auto"/>
        <w:jc w:val="both"/>
      </w:pPr>
      <w:r w:rsidRPr="00346FEC">
        <w:t>(iv) Sharpe measures measure out-performance compared to the CAPM per unit risk. i.e., as a proportion of the return predicted by the CAPM. They can therefore be used to compare investment managers who have taken differing levels of risk.</w:t>
      </w:r>
    </w:p>
    <w:p w14:paraId="08C01F3F" w14:textId="77777777" w:rsidR="00FC7FCE" w:rsidRPr="00346FEC" w:rsidRDefault="00FC7FCE" w:rsidP="00FC7FCE">
      <w:pPr>
        <w:spacing w:line="276" w:lineRule="auto"/>
        <w:jc w:val="both"/>
        <w:rPr>
          <w:rFonts w:ascii="Cambria Math" w:hAnsi="Cambria Math" w:cs="Cambria Math"/>
        </w:rPr>
      </w:pPr>
      <w:r w:rsidRPr="00346FEC">
        <w:rPr>
          <w:rFonts w:ascii="Cambria Math" w:hAnsi="Cambria Math" w:cs="Cambria Math"/>
        </w:rPr>
        <w:t>𝑺</w:t>
      </w:r>
      <w:r w:rsidRPr="00346FEC">
        <w:t xml:space="preserve"> = (</w:t>
      </w:r>
      <w:r w:rsidRPr="00346FEC">
        <w:rPr>
          <w:rFonts w:ascii="Cambria Math" w:hAnsi="Cambria Math" w:cs="Cambria Math"/>
        </w:rPr>
        <w:t>𝑹𝒑</w:t>
      </w:r>
      <w:r w:rsidRPr="00346FEC">
        <w:t xml:space="preserve"> – </w:t>
      </w:r>
      <w:r w:rsidRPr="00346FEC">
        <w:rPr>
          <w:rFonts w:ascii="Cambria Math" w:hAnsi="Cambria Math" w:cs="Cambria Math"/>
        </w:rPr>
        <w:t>𝒓)/ 𝝈𝒑</w:t>
      </w:r>
    </w:p>
    <w:p w14:paraId="4D7B6C9B" w14:textId="77777777" w:rsidR="00FC7FCE" w:rsidRPr="00346FEC" w:rsidRDefault="00FC7FCE" w:rsidP="00FC7FCE">
      <w:pPr>
        <w:spacing w:line="276" w:lineRule="auto"/>
        <w:jc w:val="both"/>
      </w:pPr>
      <w:r w:rsidRPr="00346FEC">
        <w:t xml:space="preserve">Where </w:t>
      </w:r>
      <w:r w:rsidRPr="00346FEC">
        <w:rPr>
          <w:rFonts w:ascii="Cambria Math" w:hAnsi="Cambria Math" w:cs="Cambria Math"/>
        </w:rPr>
        <w:t>𝜎𝑝</w:t>
      </w:r>
      <w:r w:rsidRPr="00346FEC">
        <w:t xml:space="preserve"> is the standard deviation of the portfolio, and the other terms are as defined above.</w:t>
      </w:r>
    </w:p>
    <w:p w14:paraId="278C25F0" w14:textId="77777777" w:rsidR="00FC7FCE" w:rsidRPr="00346FEC" w:rsidRDefault="00FC7FCE" w:rsidP="00FC7FCE"/>
    <w:sectPr w:rsidR="00FC7FCE" w:rsidRPr="00346F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492A"/>
    <w:multiLevelType w:val="hybridMultilevel"/>
    <w:tmpl w:val="B30EC2EA"/>
    <w:lvl w:ilvl="0" w:tplc="396C594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1622021"/>
    <w:multiLevelType w:val="hybridMultilevel"/>
    <w:tmpl w:val="899821BA"/>
    <w:lvl w:ilvl="0" w:tplc="24A2C22C">
      <w:start w:val="8"/>
      <w:numFmt w:val="decimal"/>
      <w:lvlText w:val="%1."/>
      <w:lvlJc w:val="left"/>
      <w:pPr>
        <w:ind w:left="720" w:hanging="360"/>
      </w:pPr>
    </w:lvl>
    <w:lvl w:ilvl="1" w:tplc="40090001">
      <w:start w:val="1"/>
      <w:numFmt w:val="bullet"/>
      <w:lvlText w:val=""/>
      <w:lvlJc w:val="left"/>
      <w:pPr>
        <w:ind w:left="360" w:hanging="360"/>
      </w:pPr>
      <w:rPr>
        <w:rFonts w:ascii="Symbol" w:hAnsi="Symbol" w:hint="default"/>
      </w:r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E7527DE"/>
    <w:multiLevelType w:val="hybridMultilevel"/>
    <w:tmpl w:val="7D72249C"/>
    <w:lvl w:ilvl="0" w:tplc="479CB43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10F61EF"/>
    <w:multiLevelType w:val="hybridMultilevel"/>
    <w:tmpl w:val="8C841FAA"/>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4" w15:restartNumberingAfterBreak="0">
    <w:nsid w:val="28DC3E21"/>
    <w:multiLevelType w:val="hybridMultilevel"/>
    <w:tmpl w:val="B406CA90"/>
    <w:lvl w:ilvl="0" w:tplc="FFFFFFFF">
      <w:start w:val="3"/>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5" w15:restartNumberingAfterBreak="0">
    <w:nsid w:val="2BA47ECD"/>
    <w:multiLevelType w:val="hybridMultilevel"/>
    <w:tmpl w:val="5B7AE738"/>
    <w:lvl w:ilvl="0" w:tplc="9306B65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35540B4B"/>
    <w:multiLevelType w:val="hybridMultilevel"/>
    <w:tmpl w:val="39748EF0"/>
    <w:lvl w:ilvl="0" w:tplc="40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8AC6877"/>
    <w:multiLevelType w:val="hybridMultilevel"/>
    <w:tmpl w:val="B1300530"/>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15:restartNumberingAfterBreak="0">
    <w:nsid w:val="3C747105"/>
    <w:multiLevelType w:val="hybridMultilevel"/>
    <w:tmpl w:val="C6E0F826"/>
    <w:lvl w:ilvl="0" w:tplc="5EA6606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9435509"/>
    <w:multiLevelType w:val="hybridMultilevel"/>
    <w:tmpl w:val="232CB848"/>
    <w:lvl w:ilvl="0" w:tplc="7B668454">
      <w:start w:val="7"/>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0" w15:restartNumberingAfterBreak="0">
    <w:nsid w:val="4CD42089"/>
    <w:multiLevelType w:val="hybridMultilevel"/>
    <w:tmpl w:val="40E4F2E2"/>
    <w:lvl w:ilvl="0" w:tplc="C5AAB14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52C63268"/>
    <w:multiLevelType w:val="hybridMultilevel"/>
    <w:tmpl w:val="DF2AF48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2" w15:restartNumberingAfterBreak="0">
    <w:nsid w:val="53D5500B"/>
    <w:multiLevelType w:val="hybridMultilevel"/>
    <w:tmpl w:val="0EC28E70"/>
    <w:lvl w:ilvl="0" w:tplc="28406E0C">
      <w:start w:val="10"/>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3" w15:restartNumberingAfterBreak="0">
    <w:nsid w:val="53F94255"/>
    <w:multiLevelType w:val="hybridMultilevel"/>
    <w:tmpl w:val="CE0AE036"/>
    <w:lvl w:ilvl="0" w:tplc="9E62AEFE">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6AAF0313"/>
    <w:multiLevelType w:val="hybridMultilevel"/>
    <w:tmpl w:val="ADF63E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B487657"/>
    <w:multiLevelType w:val="hybridMultilevel"/>
    <w:tmpl w:val="9756567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6" w15:restartNumberingAfterBreak="0">
    <w:nsid w:val="6E4D4061"/>
    <w:multiLevelType w:val="hybridMultilevel"/>
    <w:tmpl w:val="EA24043E"/>
    <w:lvl w:ilvl="0" w:tplc="40EAD84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7556245C"/>
    <w:multiLevelType w:val="hybridMultilevel"/>
    <w:tmpl w:val="40A8C434"/>
    <w:lvl w:ilvl="0" w:tplc="FE72EE6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760E3FDD"/>
    <w:multiLevelType w:val="hybridMultilevel"/>
    <w:tmpl w:val="B406CA90"/>
    <w:lvl w:ilvl="0" w:tplc="BCD258C4">
      <w:start w:val="3"/>
      <w:numFmt w:val="decimal"/>
      <w:lvlText w:val="%1."/>
      <w:lvlJc w:val="left"/>
      <w:pPr>
        <w:ind w:left="720" w:hanging="360"/>
      </w:pPr>
    </w:lvl>
    <w:lvl w:ilvl="1" w:tplc="40090019">
      <w:start w:val="1"/>
      <w:numFmt w:val="lowerLetter"/>
      <w:lvlText w:val="%2."/>
      <w:lvlJc w:val="left"/>
      <w:pPr>
        <w:ind w:left="720" w:hanging="360"/>
      </w:pPr>
    </w:lvl>
    <w:lvl w:ilvl="2" w:tplc="4009001B">
      <w:start w:val="1"/>
      <w:numFmt w:val="lowerRoman"/>
      <w:lvlText w:val="%3."/>
      <w:lvlJc w:val="right"/>
      <w:pPr>
        <w:ind w:left="180" w:hanging="180"/>
      </w:pPr>
    </w:lvl>
    <w:lvl w:ilvl="3" w:tplc="4009000F">
      <w:start w:val="1"/>
      <w:numFmt w:val="decimal"/>
      <w:lvlText w:val="%4."/>
      <w:lvlJc w:val="left"/>
      <w:pPr>
        <w:ind w:left="2160" w:hanging="360"/>
      </w:pPr>
    </w:lvl>
    <w:lvl w:ilvl="4" w:tplc="40090019">
      <w:start w:val="1"/>
      <w:numFmt w:val="lowerLetter"/>
      <w:lvlText w:val="%5."/>
      <w:lvlJc w:val="left"/>
      <w:pPr>
        <w:ind w:left="2880" w:hanging="360"/>
      </w:pPr>
    </w:lvl>
    <w:lvl w:ilvl="5" w:tplc="4009001B">
      <w:start w:val="1"/>
      <w:numFmt w:val="lowerRoman"/>
      <w:lvlText w:val="%6."/>
      <w:lvlJc w:val="right"/>
      <w:pPr>
        <w:ind w:left="3600" w:hanging="180"/>
      </w:pPr>
    </w:lvl>
    <w:lvl w:ilvl="6" w:tplc="4009000F">
      <w:start w:val="1"/>
      <w:numFmt w:val="decimal"/>
      <w:lvlText w:val="%7."/>
      <w:lvlJc w:val="left"/>
      <w:pPr>
        <w:ind w:left="4320" w:hanging="360"/>
      </w:pPr>
    </w:lvl>
    <w:lvl w:ilvl="7" w:tplc="40090019">
      <w:start w:val="1"/>
      <w:numFmt w:val="lowerLetter"/>
      <w:lvlText w:val="%8."/>
      <w:lvlJc w:val="left"/>
      <w:pPr>
        <w:ind w:left="5040" w:hanging="360"/>
      </w:pPr>
    </w:lvl>
    <w:lvl w:ilvl="8" w:tplc="4009001B">
      <w:start w:val="1"/>
      <w:numFmt w:val="lowerRoman"/>
      <w:lvlText w:val="%9."/>
      <w:lvlJc w:val="right"/>
      <w:pPr>
        <w:ind w:left="5760" w:hanging="180"/>
      </w:pPr>
    </w:lvl>
  </w:abstractNum>
  <w:abstractNum w:abstractNumId="19" w15:restartNumberingAfterBreak="0">
    <w:nsid w:val="7E3E5276"/>
    <w:multiLevelType w:val="hybridMultilevel"/>
    <w:tmpl w:val="277659B4"/>
    <w:lvl w:ilvl="0" w:tplc="7BD075DE">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7F4416FE"/>
    <w:multiLevelType w:val="hybridMultilevel"/>
    <w:tmpl w:val="EC60BB68"/>
    <w:lvl w:ilvl="0" w:tplc="DA6ABAA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083063428">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3363435">
    <w:abstractNumId w:val="18"/>
  </w:num>
  <w:num w:numId="3" w16cid:durableId="905148802">
    <w:abstractNumId w:val="4"/>
  </w:num>
  <w:num w:numId="4" w16cid:durableId="1399325879">
    <w:abstractNumId w:val="7"/>
    <w:lvlOverride w:ilvl="0"/>
    <w:lvlOverride w:ilvl="1"/>
    <w:lvlOverride w:ilvl="2"/>
    <w:lvlOverride w:ilvl="3"/>
    <w:lvlOverride w:ilvl="4"/>
    <w:lvlOverride w:ilvl="5"/>
    <w:lvlOverride w:ilvl="6"/>
    <w:lvlOverride w:ilvl="7"/>
    <w:lvlOverride w:ilvl="8"/>
  </w:num>
  <w:num w:numId="5" w16cid:durableId="1863124866">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5634247">
    <w:abstractNumId w:val="3"/>
    <w:lvlOverride w:ilvl="0"/>
    <w:lvlOverride w:ilvl="1"/>
    <w:lvlOverride w:ilvl="2"/>
    <w:lvlOverride w:ilvl="3"/>
    <w:lvlOverride w:ilvl="4"/>
    <w:lvlOverride w:ilvl="5"/>
    <w:lvlOverride w:ilvl="6"/>
    <w:lvlOverride w:ilvl="7"/>
    <w:lvlOverride w:ilvl="8"/>
  </w:num>
  <w:num w:numId="7" w16cid:durableId="503938105">
    <w:abstractNumId w:val="1"/>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7647805">
    <w:abstractNumId w:val="15"/>
    <w:lvlOverride w:ilvl="0"/>
    <w:lvlOverride w:ilvl="1"/>
    <w:lvlOverride w:ilvl="2"/>
    <w:lvlOverride w:ilvl="3"/>
    <w:lvlOverride w:ilvl="4"/>
    <w:lvlOverride w:ilvl="5"/>
    <w:lvlOverride w:ilvl="6"/>
    <w:lvlOverride w:ilvl="7"/>
    <w:lvlOverride w:ilvl="8"/>
  </w:num>
  <w:num w:numId="9" w16cid:durableId="747581341">
    <w:abstractNumId w:val="11"/>
    <w:lvlOverride w:ilvl="0"/>
    <w:lvlOverride w:ilvl="1"/>
    <w:lvlOverride w:ilvl="2"/>
    <w:lvlOverride w:ilvl="3"/>
    <w:lvlOverride w:ilvl="4"/>
    <w:lvlOverride w:ilvl="5"/>
    <w:lvlOverride w:ilvl="6"/>
    <w:lvlOverride w:ilvl="7"/>
    <w:lvlOverride w:ilvl="8"/>
  </w:num>
  <w:num w:numId="10" w16cid:durableId="781143929">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67531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20916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30082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5391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4348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81702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23157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48658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43737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1992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0460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30756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FCE"/>
    <w:rsid w:val="00346FEC"/>
    <w:rsid w:val="005B5B72"/>
    <w:rsid w:val="00FC7F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25C2B"/>
  <w15:chartTrackingRefBased/>
  <w15:docId w15:val="{B66D90B7-6A92-4A90-9D72-805F679E8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FCE"/>
    <w:pPr>
      <w:spacing w:line="256" w:lineRule="auto"/>
      <w:ind w:left="720"/>
      <w:contextualSpacing/>
    </w:pPr>
  </w:style>
  <w:style w:type="character" w:styleId="Hyperlink">
    <w:name w:val="Hyperlink"/>
    <w:basedOn w:val="DefaultParagraphFont"/>
    <w:uiPriority w:val="99"/>
    <w:semiHidden/>
    <w:unhideWhenUsed/>
    <w:rsid w:val="00FC7F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9044">
      <w:bodyDiv w:val="1"/>
      <w:marLeft w:val="0"/>
      <w:marRight w:val="0"/>
      <w:marTop w:val="0"/>
      <w:marBottom w:val="0"/>
      <w:divBdr>
        <w:top w:val="none" w:sz="0" w:space="0" w:color="auto"/>
        <w:left w:val="none" w:sz="0" w:space="0" w:color="auto"/>
        <w:bottom w:val="none" w:sz="0" w:space="0" w:color="auto"/>
        <w:right w:val="none" w:sz="0" w:space="0" w:color="auto"/>
      </w:divBdr>
    </w:div>
    <w:div w:id="107896106">
      <w:bodyDiv w:val="1"/>
      <w:marLeft w:val="0"/>
      <w:marRight w:val="0"/>
      <w:marTop w:val="0"/>
      <w:marBottom w:val="0"/>
      <w:divBdr>
        <w:top w:val="none" w:sz="0" w:space="0" w:color="auto"/>
        <w:left w:val="none" w:sz="0" w:space="0" w:color="auto"/>
        <w:bottom w:val="none" w:sz="0" w:space="0" w:color="auto"/>
        <w:right w:val="none" w:sz="0" w:space="0" w:color="auto"/>
      </w:divBdr>
    </w:div>
    <w:div w:id="225065790">
      <w:bodyDiv w:val="1"/>
      <w:marLeft w:val="0"/>
      <w:marRight w:val="0"/>
      <w:marTop w:val="0"/>
      <w:marBottom w:val="0"/>
      <w:divBdr>
        <w:top w:val="none" w:sz="0" w:space="0" w:color="auto"/>
        <w:left w:val="none" w:sz="0" w:space="0" w:color="auto"/>
        <w:bottom w:val="none" w:sz="0" w:space="0" w:color="auto"/>
        <w:right w:val="none" w:sz="0" w:space="0" w:color="auto"/>
      </w:divBdr>
    </w:div>
    <w:div w:id="330567473">
      <w:bodyDiv w:val="1"/>
      <w:marLeft w:val="0"/>
      <w:marRight w:val="0"/>
      <w:marTop w:val="0"/>
      <w:marBottom w:val="0"/>
      <w:divBdr>
        <w:top w:val="none" w:sz="0" w:space="0" w:color="auto"/>
        <w:left w:val="none" w:sz="0" w:space="0" w:color="auto"/>
        <w:bottom w:val="none" w:sz="0" w:space="0" w:color="auto"/>
        <w:right w:val="none" w:sz="0" w:space="0" w:color="auto"/>
      </w:divBdr>
    </w:div>
    <w:div w:id="424882660">
      <w:bodyDiv w:val="1"/>
      <w:marLeft w:val="0"/>
      <w:marRight w:val="0"/>
      <w:marTop w:val="0"/>
      <w:marBottom w:val="0"/>
      <w:divBdr>
        <w:top w:val="none" w:sz="0" w:space="0" w:color="auto"/>
        <w:left w:val="none" w:sz="0" w:space="0" w:color="auto"/>
        <w:bottom w:val="none" w:sz="0" w:space="0" w:color="auto"/>
        <w:right w:val="none" w:sz="0" w:space="0" w:color="auto"/>
      </w:divBdr>
    </w:div>
    <w:div w:id="440685988">
      <w:bodyDiv w:val="1"/>
      <w:marLeft w:val="0"/>
      <w:marRight w:val="0"/>
      <w:marTop w:val="0"/>
      <w:marBottom w:val="0"/>
      <w:divBdr>
        <w:top w:val="none" w:sz="0" w:space="0" w:color="auto"/>
        <w:left w:val="none" w:sz="0" w:space="0" w:color="auto"/>
        <w:bottom w:val="none" w:sz="0" w:space="0" w:color="auto"/>
        <w:right w:val="none" w:sz="0" w:space="0" w:color="auto"/>
      </w:divBdr>
    </w:div>
    <w:div w:id="981619529">
      <w:bodyDiv w:val="1"/>
      <w:marLeft w:val="0"/>
      <w:marRight w:val="0"/>
      <w:marTop w:val="0"/>
      <w:marBottom w:val="0"/>
      <w:divBdr>
        <w:top w:val="none" w:sz="0" w:space="0" w:color="auto"/>
        <w:left w:val="none" w:sz="0" w:space="0" w:color="auto"/>
        <w:bottom w:val="none" w:sz="0" w:space="0" w:color="auto"/>
        <w:right w:val="none" w:sz="0" w:space="0" w:color="auto"/>
      </w:divBdr>
    </w:div>
    <w:div w:id="1002664072">
      <w:bodyDiv w:val="1"/>
      <w:marLeft w:val="0"/>
      <w:marRight w:val="0"/>
      <w:marTop w:val="0"/>
      <w:marBottom w:val="0"/>
      <w:divBdr>
        <w:top w:val="none" w:sz="0" w:space="0" w:color="auto"/>
        <w:left w:val="none" w:sz="0" w:space="0" w:color="auto"/>
        <w:bottom w:val="none" w:sz="0" w:space="0" w:color="auto"/>
        <w:right w:val="none" w:sz="0" w:space="0" w:color="auto"/>
      </w:divBdr>
    </w:div>
    <w:div w:id="1085499341">
      <w:bodyDiv w:val="1"/>
      <w:marLeft w:val="0"/>
      <w:marRight w:val="0"/>
      <w:marTop w:val="0"/>
      <w:marBottom w:val="0"/>
      <w:divBdr>
        <w:top w:val="none" w:sz="0" w:space="0" w:color="auto"/>
        <w:left w:val="none" w:sz="0" w:space="0" w:color="auto"/>
        <w:bottom w:val="none" w:sz="0" w:space="0" w:color="auto"/>
        <w:right w:val="none" w:sz="0" w:space="0" w:color="auto"/>
      </w:divBdr>
    </w:div>
    <w:div w:id="1465663097">
      <w:bodyDiv w:val="1"/>
      <w:marLeft w:val="0"/>
      <w:marRight w:val="0"/>
      <w:marTop w:val="0"/>
      <w:marBottom w:val="0"/>
      <w:divBdr>
        <w:top w:val="none" w:sz="0" w:space="0" w:color="auto"/>
        <w:left w:val="none" w:sz="0" w:space="0" w:color="auto"/>
        <w:bottom w:val="none" w:sz="0" w:space="0" w:color="auto"/>
        <w:right w:val="none" w:sz="0" w:space="0" w:color="auto"/>
      </w:divBdr>
    </w:div>
    <w:div w:id="1579514397">
      <w:bodyDiv w:val="1"/>
      <w:marLeft w:val="0"/>
      <w:marRight w:val="0"/>
      <w:marTop w:val="0"/>
      <w:marBottom w:val="0"/>
      <w:divBdr>
        <w:top w:val="none" w:sz="0" w:space="0" w:color="auto"/>
        <w:left w:val="none" w:sz="0" w:space="0" w:color="auto"/>
        <w:bottom w:val="none" w:sz="0" w:space="0" w:color="auto"/>
        <w:right w:val="none" w:sz="0" w:space="0" w:color="auto"/>
      </w:divBdr>
    </w:div>
    <w:div w:id="171372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1975</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Keshav Sultania</dc:creator>
  <cp:keywords/>
  <dc:description/>
  <cp:lastModifiedBy>Keshav Sultania</cp:lastModifiedBy>
  <cp:revision>1</cp:revision>
  <dcterms:created xsi:type="dcterms:W3CDTF">2022-04-15T19:12:00Z</dcterms:created>
  <dcterms:modified xsi:type="dcterms:W3CDTF">2022-04-15T19:20:00Z</dcterms:modified>
</cp:coreProperties>
</file>