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2EFD" w14:textId="7727FF23" w:rsidR="00645D7F" w:rsidRPr="00645D7F" w:rsidRDefault="00645D7F" w:rsidP="00645D7F">
      <w:pPr>
        <w:pStyle w:val="Title"/>
        <w:jc w:val="center"/>
        <w:rPr>
          <w:color w:val="2F5496" w:themeColor="accent1" w:themeShade="BF"/>
          <w:sz w:val="96"/>
          <w:szCs w:val="96"/>
          <w:u w:val="single" w:color="FF0000"/>
        </w:rPr>
      </w:pPr>
      <w:r w:rsidRPr="00645D7F">
        <w:rPr>
          <w:color w:val="2F5496" w:themeColor="accent1" w:themeShade="BF"/>
          <w:sz w:val="96"/>
          <w:szCs w:val="96"/>
          <w:u w:val="single" w:color="FF0000"/>
        </w:rPr>
        <w:t>Life Insurance -PPP</w:t>
      </w:r>
    </w:p>
    <w:p w14:paraId="5473D780" w14:textId="15C35E92" w:rsidR="00645D7F" w:rsidRDefault="00645D7F" w:rsidP="00645D7F">
      <w:pPr>
        <w:pStyle w:val="Title"/>
        <w:jc w:val="center"/>
        <w:rPr>
          <w:color w:val="2F5496" w:themeColor="accent1" w:themeShade="BF"/>
          <w:u w:val="single" w:color="FF0000"/>
        </w:rPr>
      </w:pPr>
      <w:r w:rsidRPr="00645D7F">
        <w:rPr>
          <w:color w:val="2F5496" w:themeColor="accent1" w:themeShade="BF"/>
          <w:u w:val="single" w:color="FF0000"/>
        </w:rPr>
        <w:t>Assignment 2</w:t>
      </w:r>
    </w:p>
    <w:p w14:paraId="030FD558" w14:textId="77777777" w:rsidR="00645D7F" w:rsidRPr="00645D7F" w:rsidRDefault="00645D7F" w:rsidP="00645D7F"/>
    <w:p w14:paraId="6FE0B295" w14:textId="1A2FF498" w:rsidR="00645D7F" w:rsidRPr="00645D7F" w:rsidRDefault="00645D7F" w:rsidP="00645D7F"/>
    <w:p w14:paraId="35644ACB" w14:textId="3C53C443" w:rsidR="00645D7F" w:rsidRPr="00095627" w:rsidRDefault="00645D7F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</w:t>
      </w:r>
      <w:r w:rsidR="004759C6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] </w:t>
      </w:r>
      <w:r w:rsidR="004759C6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The various distribution channels for insurance products are-</w:t>
      </w:r>
    </w:p>
    <w:p w14:paraId="6C87B139" w14:textId="06C8F86E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Direct channel</w:t>
      </w:r>
    </w:p>
    <w:p w14:paraId="66EF4A22" w14:textId="17B80F92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Indirect channel</w:t>
      </w:r>
    </w:p>
    <w:p w14:paraId="0B3A16A7" w14:textId="049C8711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Bank-led channel</w:t>
      </w:r>
    </w:p>
    <w:p w14:paraId="03F64F4D" w14:textId="67CDAD6C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Internet </w:t>
      </w:r>
    </w:p>
    <w:p w14:paraId="5883030A" w14:textId="3CDC7654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Direct mail marketing</w:t>
      </w:r>
    </w:p>
    <w:p w14:paraId="70B4510D" w14:textId="7EC465F4" w:rsidR="004759C6" w:rsidRPr="00095627" w:rsidRDefault="004759C6" w:rsidP="004759C6">
      <w:pPr>
        <w:pStyle w:val="ListParagraph"/>
        <w:numPr>
          <w:ilvl w:val="0"/>
          <w:numId w:val="1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Direct response marketing</w:t>
      </w:r>
    </w:p>
    <w:p w14:paraId="4F883CAC" w14:textId="77777777" w:rsidR="004759C6" w:rsidRPr="00095627" w:rsidRDefault="004759C6" w:rsidP="004759C6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5A8654EB" w14:textId="0670318E" w:rsidR="004759C6" w:rsidRPr="00095627" w:rsidRDefault="00645D7F" w:rsidP="00E97B26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Q2</w:t>
      </w:r>
      <w:r w:rsidR="004759C6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] </w:t>
      </w:r>
      <w:r w:rsidR="004759C6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Causes of Lapsation of policy-</w:t>
      </w:r>
    </w:p>
    <w:p w14:paraId="1929C9CA" w14:textId="680EFD2D" w:rsidR="00E97B26" w:rsidRPr="00095627" w:rsidRDefault="00E97B26" w:rsidP="00E97B26">
      <w:pPr>
        <w:pStyle w:val="ListParagraph"/>
        <w:numPr>
          <w:ilvl w:val="0"/>
          <w:numId w:val="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Availability of alternative investment options</w:t>
      </w:r>
    </w:p>
    <w:p w14:paraId="221398CB" w14:textId="7BFDD41D" w:rsidR="00E97B26" w:rsidRPr="00095627" w:rsidRDefault="00E97B26" w:rsidP="00E97B26">
      <w:pPr>
        <w:pStyle w:val="ListParagraph"/>
        <w:numPr>
          <w:ilvl w:val="0"/>
          <w:numId w:val="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Macro-economic factors such as inflation, gov policies/taxation.</w:t>
      </w:r>
    </w:p>
    <w:p w14:paraId="53BF66A1" w14:textId="02E9752B" w:rsidR="00E97B26" w:rsidRPr="00095627" w:rsidRDefault="00E97B26" w:rsidP="00E97B26">
      <w:pPr>
        <w:pStyle w:val="ListParagraph"/>
        <w:numPr>
          <w:ilvl w:val="0"/>
          <w:numId w:val="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Marketing strategies </w:t>
      </w:r>
      <w:r w:rsidR="008F3B90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by the company</w:t>
      </w:r>
    </w:p>
    <w:p w14:paraId="5140B3A8" w14:textId="78B0FE61" w:rsidR="008F3B90" w:rsidRPr="00095627" w:rsidRDefault="008F3B90" w:rsidP="00E97B26">
      <w:pPr>
        <w:pStyle w:val="ListParagraph"/>
        <w:numPr>
          <w:ilvl w:val="0"/>
          <w:numId w:val="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Product design </w:t>
      </w:r>
    </w:p>
    <w:p w14:paraId="391BCDB8" w14:textId="3EA1F6E9" w:rsidR="008F3B90" w:rsidRPr="00095627" w:rsidRDefault="008F3B90" w:rsidP="00E97B26">
      <w:pPr>
        <w:pStyle w:val="ListParagraph"/>
        <w:numPr>
          <w:ilvl w:val="0"/>
          <w:numId w:val="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Poaching</w:t>
      </w:r>
    </w:p>
    <w:p w14:paraId="668A167E" w14:textId="5A8DD569" w:rsidR="008F3B90" w:rsidRPr="00095627" w:rsidRDefault="008F3B90" w:rsidP="008F3B90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0E40FDBB" w14:textId="77777777" w:rsidR="008F3B90" w:rsidRPr="00095627" w:rsidRDefault="008F3B90" w:rsidP="008F3B90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75981B0D" w14:textId="77777777" w:rsidR="008F3B90" w:rsidRPr="00095627" w:rsidRDefault="008F3B90" w:rsidP="008F3B90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2E89DAAF" w14:textId="6A661CFD" w:rsidR="008F3B90" w:rsidRPr="00095627" w:rsidRDefault="00645D7F" w:rsidP="008F3B90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Q3]</w:t>
      </w:r>
    </w:p>
    <w:p w14:paraId="6A731237" w14:textId="24D72C6C" w:rsidR="008F3B90" w:rsidRPr="00095627" w:rsidRDefault="008F3B90" w:rsidP="008F3B90">
      <w:pPr>
        <w:pStyle w:val="ListParagraph"/>
        <w:numPr>
          <w:ilvl w:val="0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lastRenderedPageBreak/>
        <w:t xml:space="preserve"> The insurance company is correct in denying the claim as Mr. H knew that the nurse had not filler the questionnaire correctly and yet signed on it. </w:t>
      </w:r>
    </w:p>
    <w:p w14:paraId="351940C9" w14:textId="414966C2" w:rsidR="005D35B6" w:rsidRPr="00095627" w:rsidRDefault="005D35B6" w:rsidP="005D35B6">
      <w:pPr>
        <w:pStyle w:val="ListParagraph"/>
        <w:numPr>
          <w:ilvl w:val="0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Mrs. Harvey can choose to file a complaint to the company for wrongfully rejecting the claim. She can also seek the Ombudsman if she feels unsatisfied by the company’s response.</w:t>
      </w:r>
    </w:p>
    <w:p w14:paraId="37F7EA6E" w14:textId="4BAE51B2" w:rsidR="005D35B6" w:rsidRPr="00095627" w:rsidRDefault="005D35B6" w:rsidP="005D35B6">
      <w:pPr>
        <w:pStyle w:val="ListParagraph"/>
        <w:numPr>
          <w:ilvl w:val="0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Claims can be rejected for wrong/non-disclosure of facts, avoiding submission of medical tests, exclusions in the policy and fraud.</w:t>
      </w:r>
    </w:p>
    <w:p w14:paraId="7980FCCA" w14:textId="3601DAE5" w:rsidR="005D35B6" w:rsidRPr="00095627" w:rsidRDefault="005D35B6" w:rsidP="005D35B6">
      <w:pPr>
        <w:pStyle w:val="ListParagraph"/>
        <w:numPr>
          <w:ilvl w:val="0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Underwriting is the process of assessment of risk when selling an insurance product.</w:t>
      </w:r>
      <w:r w:rsidR="00277929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 It is a tool to manage and price the risk.</w:t>
      </w:r>
    </w:p>
    <w:p w14:paraId="0037637A" w14:textId="5BA3F705" w:rsidR="00277929" w:rsidRPr="00095627" w:rsidRDefault="00277929" w:rsidP="005D35B6">
      <w:pPr>
        <w:pStyle w:val="ListParagraph"/>
        <w:numPr>
          <w:ilvl w:val="0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The main types of underwriting are: </w:t>
      </w:r>
    </w:p>
    <w:p w14:paraId="3C486358" w14:textId="442EBB6D" w:rsidR="00277929" w:rsidRPr="00095627" w:rsidRDefault="00277929" w:rsidP="00277929">
      <w:pPr>
        <w:pStyle w:val="ListParagraph"/>
        <w:numPr>
          <w:ilvl w:val="1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Medical</w:t>
      </w:r>
    </w:p>
    <w:p w14:paraId="4FD90D47" w14:textId="22963830" w:rsidR="00277929" w:rsidRPr="00095627" w:rsidRDefault="00277929" w:rsidP="00277929">
      <w:pPr>
        <w:pStyle w:val="ListParagraph"/>
        <w:numPr>
          <w:ilvl w:val="1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Lifestyle </w:t>
      </w:r>
    </w:p>
    <w:p w14:paraId="77F65F87" w14:textId="58589D99" w:rsidR="00277929" w:rsidRPr="00095627" w:rsidRDefault="00277929" w:rsidP="00277929">
      <w:pPr>
        <w:pStyle w:val="ListParagraph"/>
        <w:numPr>
          <w:ilvl w:val="1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Finance </w:t>
      </w:r>
    </w:p>
    <w:p w14:paraId="21171036" w14:textId="77777777" w:rsidR="00277929" w:rsidRPr="00095627" w:rsidRDefault="00277929" w:rsidP="00277929">
      <w:pPr>
        <w:pStyle w:val="ListParagraph"/>
        <w:numPr>
          <w:ilvl w:val="1"/>
          <w:numId w:val="6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Claim</w:t>
      </w:r>
    </w:p>
    <w:p w14:paraId="1FB95250" w14:textId="77777777" w:rsidR="00277929" w:rsidRPr="00095627" w:rsidRDefault="00277929" w:rsidP="00277929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5AA2D6DD" w14:textId="0A23EFF5" w:rsidR="00277929" w:rsidRPr="00095627" w:rsidRDefault="00277929" w:rsidP="00277929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 </w:t>
      </w:r>
    </w:p>
    <w:p w14:paraId="00B73017" w14:textId="215DF5DA" w:rsidR="00277929" w:rsidRPr="00095627" w:rsidRDefault="00645D7F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Q4]</w:t>
      </w:r>
      <w:r w:rsidR="00277929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277929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Through underwriting, the insurance company assesses the risk involved in insuring an individual. A company prices its products so as to cover as many people as possible.</w:t>
      </w:r>
    </w:p>
    <w:p w14:paraId="2CAD7374" w14:textId="09D091FA" w:rsidR="007D10AB" w:rsidRPr="00095627" w:rsidRDefault="007D10AB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The main objective of pricing is to-</w:t>
      </w:r>
    </w:p>
    <w:p w14:paraId="217CCA43" w14:textId="0087C8C4" w:rsidR="007D10AB" w:rsidRPr="00095627" w:rsidRDefault="007D10AB" w:rsidP="007D10AB">
      <w:pPr>
        <w:pStyle w:val="ListParagraph"/>
        <w:numPr>
          <w:ilvl w:val="0"/>
          <w:numId w:val="7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lastRenderedPageBreak/>
        <w:t>Avoid finance issues</w:t>
      </w:r>
    </w:p>
    <w:p w14:paraId="742DADF0" w14:textId="606200EF" w:rsidR="007D10AB" w:rsidRPr="00095627" w:rsidRDefault="007D10AB" w:rsidP="007D10AB">
      <w:pPr>
        <w:pStyle w:val="ListParagraph"/>
        <w:numPr>
          <w:ilvl w:val="0"/>
          <w:numId w:val="7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Cover more individuals</w:t>
      </w:r>
    </w:p>
    <w:p w14:paraId="223C58C1" w14:textId="45F4486B" w:rsidR="007D10AB" w:rsidRPr="00095627" w:rsidRDefault="007D10AB" w:rsidP="007D10AB">
      <w:pPr>
        <w:pStyle w:val="ListParagraph"/>
        <w:numPr>
          <w:ilvl w:val="0"/>
          <w:numId w:val="7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Use same rates for a greater group</w:t>
      </w:r>
    </w:p>
    <w:p w14:paraId="478B0F21" w14:textId="650184B6" w:rsidR="007D10AB" w:rsidRPr="00095627" w:rsidRDefault="007D10AB" w:rsidP="007D10AB">
      <w:pPr>
        <w:pStyle w:val="ListParagraph"/>
        <w:numPr>
          <w:ilvl w:val="0"/>
          <w:numId w:val="7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Be able to suffice for claims </w:t>
      </w:r>
    </w:p>
    <w:p w14:paraId="064D2678" w14:textId="58C96FBB" w:rsidR="007D10AB" w:rsidRPr="00095627" w:rsidRDefault="007D10AB" w:rsidP="007D10A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42D0443B" w14:textId="77777777" w:rsidR="007D10AB" w:rsidRPr="00095627" w:rsidRDefault="007D10AB" w:rsidP="007D10A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3EDB2019" w14:textId="37C0B6A8" w:rsidR="00645D7F" w:rsidRPr="00095627" w:rsidRDefault="00645D7F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Q5]</w:t>
      </w:r>
      <w:r w:rsidR="007D10AB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7D10AB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there are 3 types of premium payments-</w:t>
      </w:r>
    </w:p>
    <w:p w14:paraId="772C16C8" w14:textId="1F4CC4D3" w:rsidR="007D10AB" w:rsidRPr="00095627" w:rsidRDefault="007D10AB" w:rsidP="007D10AB">
      <w:pPr>
        <w:pStyle w:val="ListParagraph"/>
        <w:numPr>
          <w:ilvl w:val="0"/>
          <w:numId w:val="8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Lagged premium payment</w:t>
      </w:r>
    </w:p>
    <w:p w14:paraId="5F2784DA" w14:textId="6E2B1446" w:rsidR="007D10AB" w:rsidRPr="00095627" w:rsidRDefault="006E205B" w:rsidP="007D10AB">
      <w:pPr>
        <w:pStyle w:val="ListParagraph"/>
        <w:numPr>
          <w:ilvl w:val="0"/>
          <w:numId w:val="8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Deferred premium payment</w:t>
      </w:r>
    </w:p>
    <w:p w14:paraId="05B5C190" w14:textId="51386CD4" w:rsidR="006E205B" w:rsidRPr="00095627" w:rsidRDefault="006E205B" w:rsidP="007D10AB">
      <w:pPr>
        <w:pStyle w:val="ListParagraph"/>
        <w:numPr>
          <w:ilvl w:val="0"/>
          <w:numId w:val="8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Discounted premium payment</w:t>
      </w:r>
    </w:p>
    <w:p w14:paraId="7CB3EF88" w14:textId="77777777" w:rsidR="006E205B" w:rsidRPr="00095627" w:rsidRDefault="006E205B" w:rsidP="006E205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0CF6A350" w14:textId="3B5B4DE0" w:rsidR="006E205B" w:rsidRPr="00095627" w:rsidRDefault="006E205B" w:rsidP="006E205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Every </w:t>
      </w:r>
      <w:proofErr w:type="gramStart"/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individuals</w:t>
      </w:r>
      <w:proofErr w:type="gramEnd"/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 income is different. Therefore, the company has several ways of collecting premiums so that the insured can choose the way they want to pay premiums according to their income.</w:t>
      </w:r>
    </w:p>
    <w:p w14:paraId="38C75514" w14:textId="5217BDC6" w:rsidR="006E205B" w:rsidRPr="00095627" w:rsidRDefault="006E205B" w:rsidP="006E205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73D84924" w14:textId="77777777" w:rsidR="006E205B" w:rsidRPr="00095627" w:rsidRDefault="006E205B" w:rsidP="006E205B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057FBE46" w14:textId="30071B21" w:rsidR="001A3118" w:rsidRPr="00095627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Q6]</w:t>
      </w:r>
      <w:r w:rsidR="006E205B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6E205B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Traditional cash value and universal life insurance are both permanent life insurance.</w:t>
      </w:r>
      <w:r w:rsidR="001A3118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 In traditional cash value, premiums are consistent and have guaranteed cash value accumulation. A universal life insurance provides flexible premiums and death benefits. </w:t>
      </w:r>
    </w:p>
    <w:p w14:paraId="1BA89C54" w14:textId="2E82061A" w:rsidR="001A3118" w:rsidRPr="00095627" w:rsidRDefault="001A3118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4D30E724" w14:textId="77777777" w:rsidR="001A3118" w:rsidRPr="00095627" w:rsidRDefault="001A3118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1A309FEE" w14:textId="1A83702B" w:rsidR="004759C6" w:rsidRPr="00095627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Q7]</w:t>
      </w:r>
      <w:r w:rsidR="001A3118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1A3118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Different types of claims are-</w:t>
      </w:r>
    </w:p>
    <w:p w14:paraId="3F72DF5D" w14:textId="466B82F4" w:rsidR="001A3118" w:rsidRPr="00095627" w:rsidRDefault="001A3118" w:rsidP="001A3118">
      <w:pPr>
        <w:pStyle w:val="ListParagraph"/>
        <w:numPr>
          <w:ilvl w:val="0"/>
          <w:numId w:val="9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Death claim</w:t>
      </w:r>
    </w:p>
    <w:p w14:paraId="258BA89A" w14:textId="564582B6" w:rsidR="001A3118" w:rsidRPr="00095627" w:rsidRDefault="001A3118" w:rsidP="001A3118">
      <w:pPr>
        <w:pStyle w:val="ListParagraph"/>
        <w:numPr>
          <w:ilvl w:val="0"/>
          <w:numId w:val="9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Maturity claim</w:t>
      </w:r>
    </w:p>
    <w:p w14:paraId="43B4596F" w14:textId="42C8C64B" w:rsidR="001A3118" w:rsidRPr="00095627" w:rsidRDefault="001A3118" w:rsidP="001A3118">
      <w:pPr>
        <w:pStyle w:val="ListParagraph"/>
        <w:numPr>
          <w:ilvl w:val="0"/>
          <w:numId w:val="9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Annuity payments</w:t>
      </w:r>
    </w:p>
    <w:p w14:paraId="2B6C0935" w14:textId="0D3F7A3A" w:rsidR="001A3118" w:rsidRPr="00095627" w:rsidRDefault="001A3118" w:rsidP="001A3118">
      <w:pPr>
        <w:pStyle w:val="ListParagraph"/>
        <w:numPr>
          <w:ilvl w:val="0"/>
          <w:numId w:val="9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Disability claims</w:t>
      </w:r>
    </w:p>
    <w:p w14:paraId="5740C934" w14:textId="4E696725" w:rsidR="001A3118" w:rsidRPr="00095627" w:rsidRDefault="001A3118" w:rsidP="001A3118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After the happening of an event, or the maturity date of the policy, an individual can file for claim within a certain time period of the event to get the assured sum</w:t>
      </w:r>
      <w:r w:rsidR="008417F7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. If the event falls within the policy, the company will pay the claim/part of the claim promised.</w:t>
      </w:r>
    </w:p>
    <w:p w14:paraId="3CA6E749" w14:textId="6A03A41F" w:rsidR="008417F7" w:rsidRPr="00095627" w:rsidRDefault="008417F7" w:rsidP="001A3118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28BC39D7" w14:textId="77777777" w:rsidR="008417F7" w:rsidRPr="00095627" w:rsidRDefault="008417F7" w:rsidP="001A3118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223397C3" w14:textId="07622885" w:rsidR="008417F7" w:rsidRPr="00095627" w:rsidRDefault="004759C6" w:rsidP="008417F7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Q8]</w:t>
      </w:r>
    </w:p>
    <w:p w14:paraId="5BB929F1" w14:textId="02369D59" w:rsidR="008417F7" w:rsidRPr="00095627" w:rsidRDefault="008417F7" w:rsidP="008417F7">
      <w:pPr>
        <w:pStyle w:val="ListParagraph"/>
        <w:numPr>
          <w:ilvl w:val="0"/>
          <w:numId w:val="12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Maturity claims: requirements- Discharge of voucher sent beforehand. Policy document provided by the insurance company.</w:t>
      </w:r>
    </w:p>
    <w:p w14:paraId="043F1117" w14:textId="1E88E09A" w:rsidR="008417F7" w:rsidRPr="00095627" w:rsidRDefault="008417F7" w:rsidP="008417F7">
      <w:pPr>
        <w:pStyle w:val="ListParagraph"/>
        <w:numPr>
          <w:ilvl w:val="0"/>
          <w:numId w:val="12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Death claim: requirements- proof of death and proof of title.</w:t>
      </w:r>
    </w:p>
    <w:p w14:paraId="041D41F3" w14:textId="7177BE1F" w:rsidR="008417F7" w:rsidRPr="00095627" w:rsidRDefault="008417F7" w:rsidP="008417F7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19C5A9F8" w14:textId="77777777" w:rsidR="008417F7" w:rsidRPr="00095627" w:rsidRDefault="008417F7" w:rsidP="008417F7">
      <w:pPr>
        <w:pStyle w:val="ListParagraph"/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6C44887C" w14:textId="3DD6234E" w:rsidR="004759C6" w:rsidRPr="00095627" w:rsidRDefault="004759C6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Q9]</w:t>
      </w:r>
    </w:p>
    <w:p w14:paraId="5B152B98" w14:textId="56365244" w:rsidR="00E01F52" w:rsidRPr="00095627" w:rsidRDefault="00E01F52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</w:p>
    <w:p w14:paraId="7CFED1B1" w14:textId="56BF6F15" w:rsidR="00E01F52" w:rsidRPr="00095627" w:rsidRDefault="00E01F52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</w:p>
    <w:p w14:paraId="0915552B" w14:textId="77777777" w:rsidR="00E01F52" w:rsidRPr="00095627" w:rsidRDefault="00E01F52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</w:p>
    <w:p w14:paraId="167AC7BA" w14:textId="77777777" w:rsidR="00E01F52" w:rsidRPr="00095627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Q10]</w:t>
      </w:r>
      <w:r w:rsidR="00E01F52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E01F52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Future scenario of claim settlement-</w:t>
      </w:r>
    </w:p>
    <w:p w14:paraId="00BC88DC" w14:textId="0716FDDD" w:rsidR="004759C6" w:rsidRPr="00095627" w:rsidRDefault="00E01F52" w:rsidP="00E01F52">
      <w:pPr>
        <w:pStyle w:val="ListParagraph"/>
        <w:numPr>
          <w:ilvl w:val="0"/>
          <w:numId w:val="1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Progress tracking</w:t>
      </w:r>
    </w:p>
    <w:p w14:paraId="1815B4EB" w14:textId="62FFAD0B" w:rsidR="00E01F52" w:rsidRPr="00095627" w:rsidRDefault="00E01F52" w:rsidP="00E01F52">
      <w:pPr>
        <w:pStyle w:val="ListParagraph"/>
        <w:numPr>
          <w:ilvl w:val="0"/>
          <w:numId w:val="1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Follow up on a regular basis</w:t>
      </w:r>
    </w:p>
    <w:p w14:paraId="059E59F7" w14:textId="2DFD1145" w:rsidR="00E01F52" w:rsidRPr="00095627" w:rsidRDefault="00E01F52" w:rsidP="00E01F52">
      <w:pPr>
        <w:pStyle w:val="ListParagraph"/>
        <w:numPr>
          <w:ilvl w:val="0"/>
          <w:numId w:val="1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Good claim management system</w:t>
      </w:r>
    </w:p>
    <w:p w14:paraId="608C5CA1" w14:textId="0C078879" w:rsidR="00E01F52" w:rsidRPr="00095627" w:rsidRDefault="00E01F52" w:rsidP="00E01F52">
      <w:pPr>
        <w:pStyle w:val="ListParagraph"/>
        <w:numPr>
          <w:ilvl w:val="0"/>
          <w:numId w:val="1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Automatic completion of required forms</w:t>
      </w:r>
    </w:p>
    <w:p w14:paraId="180B47DA" w14:textId="54C18C64" w:rsidR="00E01F52" w:rsidRPr="00095627" w:rsidRDefault="00E01F52" w:rsidP="00E01F52">
      <w:pPr>
        <w:pStyle w:val="ListParagraph"/>
        <w:numPr>
          <w:ilvl w:val="0"/>
          <w:numId w:val="13"/>
        </w:num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Availability of all information in a single tap</w:t>
      </w:r>
    </w:p>
    <w:p w14:paraId="2033A894" w14:textId="0D2C04C5" w:rsidR="00E01F52" w:rsidRPr="00095627" w:rsidRDefault="00E01F52" w:rsidP="00E01F52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6CBFC158" w14:textId="77777777" w:rsidR="00E01F52" w:rsidRPr="00095627" w:rsidRDefault="00E01F52" w:rsidP="00E01F52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41E969CB" w14:textId="77777777" w:rsidR="002345E4" w:rsidRPr="00095627" w:rsidRDefault="004759C6" w:rsidP="002345E4">
      <w:pPr>
        <w:shd w:val="clear" w:color="auto" w:fill="FFFFFF"/>
        <w:spacing w:before="100" w:beforeAutospacing="1" w:after="100" w:afterAutospacing="1" w:line="240" w:lineRule="auto"/>
        <w:rPr>
          <w:rFonts w:ascii="Bahnschrift" w:eastAsia="Times New Roman" w:hAnsi="Bahnschrift" w:cs="Arial"/>
          <w:color w:val="111111"/>
          <w:spacing w:val="1"/>
          <w:sz w:val="40"/>
          <w:szCs w:val="40"/>
          <w:lang w:eastAsia="en-IN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Q11]</w:t>
      </w:r>
      <w:r w:rsidR="00E01F52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E01F52" w:rsidRPr="00095627">
        <w:rPr>
          <w:rFonts w:ascii="Bahnschrift" w:hAnsi="Bahnschrift" w:cs="Arial"/>
          <w:color w:val="111111"/>
          <w:spacing w:val="1"/>
          <w:sz w:val="40"/>
          <w:szCs w:val="40"/>
          <w:shd w:val="clear" w:color="auto" w:fill="FFFFFF"/>
        </w:rPr>
        <w:t>An actuarial valuation is a type of </w:t>
      </w:r>
      <w:r w:rsidR="00E01F52" w:rsidRPr="00095627">
        <w:rPr>
          <w:rFonts w:ascii="Bahnschrift" w:hAnsi="Bahnschrift" w:cs="Arial"/>
          <w:spacing w:val="1"/>
          <w:sz w:val="40"/>
          <w:szCs w:val="40"/>
          <w:shd w:val="clear" w:color="auto" w:fill="FFFFFF"/>
        </w:rPr>
        <w:t>appraisal</w:t>
      </w:r>
      <w:r w:rsidR="00E01F52" w:rsidRPr="00095627">
        <w:rPr>
          <w:rFonts w:ascii="Bahnschrift" w:hAnsi="Bahnschrift" w:cs="Arial"/>
          <w:color w:val="111111"/>
          <w:spacing w:val="1"/>
          <w:sz w:val="40"/>
          <w:szCs w:val="40"/>
          <w:shd w:val="clear" w:color="auto" w:fill="FFFFFF"/>
        </w:rPr>
        <w:t> of a pension fund's assets versus liabilities, using </w:t>
      </w:r>
      <w:r w:rsidR="00E01F52" w:rsidRPr="00095627">
        <w:rPr>
          <w:rFonts w:ascii="Bahnschrift" w:hAnsi="Bahnschrift" w:cs="Arial"/>
          <w:spacing w:val="1"/>
          <w:sz w:val="40"/>
          <w:szCs w:val="40"/>
          <w:shd w:val="clear" w:color="auto" w:fill="FFFFFF"/>
        </w:rPr>
        <w:t>investment</w:t>
      </w:r>
      <w:r w:rsidR="00E01F52" w:rsidRPr="00095627">
        <w:rPr>
          <w:rFonts w:ascii="Bahnschrift" w:hAnsi="Bahnschrift" w:cs="Arial"/>
          <w:color w:val="111111"/>
          <w:spacing w:val="1"/>
          <w:sz w:val="40"/>
          <w:szCs w:val="40"/>
          <w:shd w:val="clear" w:color="auto" w:fill="FFFFFF"/>
        </w:rPr>
        <w:t>, economic, and demographic assumptions for the model to determine the funded status of a pension plan. The assumptions are based on a mix of statistical studies and experienced judgment.</w:t>
      </w:r>
      <w:r w:rsidR="002345E4" w:rsidRPr="00095627">
        <w:rPr>
          <w:rFonts w:ascii="Bahnschrift" w:hAnsi="Bahnschrift" w:cs="Arial"/>
          <w:color w:val="111111"/>
          <w:spacing w:val="1"/>
          <w:sz w:val="40"/>
          <w:szCs w:val="40"/>
          <w:shd w:val="clear" w:color="auto" w:fill="FFFFFF"/>
        </w:rPr>
        <w:t xml:space="preserve"> </w:t>
      </w:r>
      <w:r w:rsidR="002345E4" w:rsidRPr="00095627">
        <w:rPr>
          <w:rFonts w:ascii="Bahnschrift" w:eastAsia="Times New Roman" w:hAnsi="Bahnschrift" w:cs="Arial"/>
          <w:color w:val="111111"/>
          <w:spacing w:val="1"/>
          <w:sz w:val="40"/>
          <w:szCs w:val="40"/>
          <w:lang w:eastAsia="en-IN"/>
        </w:rPr>
        <w:t>Actuarial valuations are used to assess the funded status of a defined-benefit pension fund.</w:t>
      </w:r>
    </w:p>
    <w:p w14:paraId="66B0823F" w14:textId="45119619" w:rsidR="004759C6" w:rsidRPr="00095627" w:rsidRDefault="004759C6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</w:p>
    <w:p w14:paraId="4EB806F6" w14:textId="77777777" w:rsidR="002345E4" w:rsidRPr="00095627" w:rsidRDefault="002345E4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</w:p>
    <w:p w14:paraId="135E295D" w14:textId="1BC20219" w:rsidR="004759C6" w:rsidRPr="00095627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Q12]</w:t>
      </w:r>
      <w:r w:rsidR="002345E4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2345E4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 xml:space="preserve">Actuarial valuation is used to calculate the present value of the payments to be done in the future. For example, payments to be done to </w:t>
      </w:r>
      <w:r w:rsidR="002345E4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lastRenderedPageBreak/>
        <w:t>employees under employee benefit plan or at the end of accounting periods for financial statement.</w:t>
      </w:r>
    </w:p>
    <w:p w14:paraId="7CD72A3B" w14:textId="657C1FA1" w:rsidR="002345E4" w:rsidRPr="00095627" w:rsidRDefault="002345E4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65D6499D" w14:textId="68D2FBFA" w:rsidR="002345E4" w:rsidRPr="00095627" w:rsidRDefault="002345E4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01198DE6" w14:textId="77777777" w:rsidR="002345E4" w:rsidRPr="00095627" w:rsidRDefault="002345E4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2445B181" w14:textId="0FA2643E" w:rsidR="004759C6" w:rsidRPr="00095627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Q13]</w:t>
      </w:r>
      <w:r w:rsidR="002345E4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2345E4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In insurance, surplus means profit. Profit in insurance is a result of the margin earned for the company’s profit from calculation of premiums, expenses, etc.</w:t>
      </w:r>
    </w:p>
    <w:p w14:paraId="63EC5D76" w14:textId="7DCA67E2" w:rsidR="002345E4" w:rsidRPr="00095627" w:rsidRDefault="002345E4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59003825" w14:textId="77777777" w:rsidR="002345E4" w:rsidRPr="00095627" w:rsidRDefault="002345E4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3D0288B4" w14:textId="5C5B79CA" w:rsidR="004759C6" w:rsidRDefault="004759C6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Q14]</w:t>
      </w:r>
      <w:r w:rsidR="002F71B0"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 xml:space="preserve"> </w:t>
      </w:r>
      <w:r w:rsidR="002F71B0" w:rsidRPr="00095627"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  <w:t>Surplus is generally distributed to shareholders policyholders by uniform bonus plans and contributory plans.</w:t>
      </w:r>
    </w:p>
    <w:p w14:paraId="55FA5771" w14:textId="77777777" w:rsidR="00095627" w:rsidRDefault="00095627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1E34CB19" w14:textId="77777777" w:rsidR="00095627" w:rsidRPr="00095627" w:rsidRDefault="00095627" w:rsidP="00645D7F">
      <w:pPr>
        <w:rPr>
          <w:rFonts w:ascii="Bahnschrift" w:eastAsiaTheme="majorEastAsia" w:hAnsi="Bahnschrift" w:cstheme="majorBidi"/>
          <w:spacing w:val="-10"/>
          <w:kern w:val="28"/>
          <w:sz w:val="40"/>
          <w:szCs w:val="40"/>
        </w:rPr>
      </w:pPr>
    </w:p>
    <w:p w14:paraId="215CB6B2" w14:textId="5E4B4931" w:rsidR="004759C6" w:rsidRPr="00095627" w:rsidRDefault="004759C6" w:rsidP="00645D7F">
      <w:pPr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</w:pPr>
      <w:r w:rsidRPr="00095627">
        <w:rPr>
          <w:rFonts w:ascii="Bahnschrift" w:eastAsiaTheme="majorEastAsia" w:hAnsi="Bahnschrift" w:cstheme="majorBidi"/>
          <w:color w:val="4472C4" w:themeColor="accent1"/>
          <w:spacing w:val="-10"/>
          <w:kern w:val="28"/>
          <w:sz w:val="40"/>
          <w:szCs w:val="40"/>
        </w:rPr>
        <w:t>Q15]</w:t>
      </w:r>
    </w:p>
    <w:p w14:paraId="0943C8B4" w14:textId="77777777" w:rsidR="004759C6" w:rsidRPr="00645D7F" w:rsidRDefault="004759C6" w:rsidP="00645D7F">
      <w:pPr>
        <w:rPr>
          <w:color w:val="4472C4" w:themeColor="accent1"/>
        </w:rPr>
      </w:pPr>
    </w:p>
    <w:sectPr w:rsidR="004759C6" w:rsidRPr="00645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7122" w14:textId="77777777" w:rsidR="00645D7F" w:rsidRDefault="00645D7F" w:rsidP="00645D7F">
      <w:pPr>
        <w:spacing w:after="0" w:line="240" w:lineRule="auto"/>
      </w:pPr>
      <w:r>
        <w:separator/>
      </w:r>
    </w:p>
  </w:endnote>
  <w:endnote w:type="continuationSeparator" w:id="0">
    <w:p w14:paraId="508B9B2B" w14:textId="77777777" w:rsidR="00645D7F" w:rsidRDefault="00645D7F" w:rsidP="0064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057" w14:textId="77777777" w:rsidR="00645D7F" w:rsidRDefault="00645D7F" w:rsidP="00645D7F">
      <w:pPr>
        <w:spacing w:after="0" w:line="240" w:lineRule="auto"/>
      </w:pPr>
      <w:r>
        <w:separator/>
      </w:r>
    </w:p>
  </w:footnote>
  <w:footnote w:type="continuationSeparator" w:id="0">
    <w:p w14:paraId="6CA7C33D" w14:textId="77777777" w:rsidR="00645D7F" w:rsidRDefault="00645D7F" w:rsidP="0064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59F"/>
    <w:multiLevelType w:val="hybridMultilevel"/>
    <w:tmpl w:val="51A6B20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4AC8"/>
    <w:multiLevelType w:val="hybridMultilevel"/>
    <w:tmpl w:val="5016E7F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34A3"/>
    <w:multiLevelType w:val="hybridMultilevel"/>
    <w:tmpl w:val="3D28768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63BD6"/>
    <w:multiLevelType w:val="hybridMultilevel"/>
    <w:tmpl w:val="F6B2C264"/>
    <w:lvl w:ilvl="0" w:tplc="E25A55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44000"/>
    <w:multiLevelType w:val="multilevel"/>
    <w:tmpl w:val="F2F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4A6D45"/>
    <w:multiLevelType w:val="hybridMultilevel"/>
    <w:tmpl w:val="639A744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6F79"/>
    <w:multiLevelType w:val="hybridMultilevel"/>
    <w:tmpl w:val="933E522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7DA8"/>
    <w:multiLevelType w:val="hybridMultilevel"/>
    <w:tmpl w:val="678039D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05">
      <w:start w:val="1"/>
      <w:numFmt w:val="bullet"/>
      <w:lvlText w:val=""/>
      <w:lvlJc w:val="left"/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4592F"/>
    <w:multiLevelType w:val="hybridMultilevel"/>
    <w:tmpl w:val="6DF021B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35BEA"/>
    <w:multiLevelType w:val="hybridMultilevel"/>
    <w:tmpl w:val="AF781CF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82CB3"/>
    <w:multiLevelType w:val="hybridMultilevel"/>
    <w:tmpl w:val="1806DD2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75DEB"/>
    <w:multiLevelType w:val="hybridMultilevel"/>
    <w:tmpl w:val="93FEFA2E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0176AA"/>
    <w:multiLevelType w:val="hybridMultilevel"/>
    <w:tmpl w:val="4118CA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62CB3"/>
    <w:multiLevelType w:val="hybridMultilevel"/>
    <w:tmpl w:val="F7BA3C22"/>
    <w:lvl w:ilvl="0" w:tplc="400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7F"/>
    <w:rsid w:val="00095627"/>
    <w:rsid w:val="001A3118"/>
    <w:rsid w:val="002345E4"/>
    <w:rsid w:val="00277929"/>
    <w:rsid w:val="002F71B0"/>
    <w:rsid w:val="004759C6"/>
    <w:rsid w:val="005D35B6"/>
    <w:rsid w:val="00645D7F"/>
    <w:rsid w:val="006E205B"/>
    <w:rsid w:val="007D10AB"/>
    <w:rsid w:val="008417F7"/>
    <w:rsid w:val="008F3B90"/>
    <w:rsid w:val="00E01F52"/>
    <w:rsid w:val="00E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96B7"/>
  <w15:chartTrackingRefBased/>
  <w15:docId w15:val="{3C07A5A6-187A-4383-B121-30134E54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7F"/>
  </w:style>
  <w:style w:type="paragraph" w:styleId="Footer">
    <w:name w:val="footer"/>
    <w:basedOn w:val="Normal"/>
    <w:link w:val="FooterChar"/>
    <w:uiPriority w:val="99"/>
    <w:unhideWhenUsed/>
    <w:rsid w:val="0064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7F"/>
  </w:style>
  <w:style w:type="paragraph" w:styleId="Title">
    <w:name w:val="Title"/>
    <w:basedOn w:val="Normal"/>
    <w:next w:val="Normal"/>
    <w:link w:val="TitleChar"/>
    <w:uiPriority w:val="10"/>
    <w:qFormat/>
    <w:rsid w:val="00645D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759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1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nimitt chauhan</dc:creator>
  <cp:keywords/>
  <dc:description/>
  <cp:lastModifiedBy>nimitt chauhan</cp:lastModifiedBy>
  <cp:revision>2</cp:revision>
  <dcterms:created xsi:type="dcterms:W3CDTF">2022-01-27T10:24:00Z</dcterms:created>
  <dcterms:modified xsi:type="dcterms:W3CDTF">2022-01-27T11:28:00Z</dcterms:modified>
</cp:coreProperties>
</file>