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7F88B" w14:textId="234BCEAD" w:rsidR="008B7935" w:rsidRPr="009A1C23" w:rsidRDefault="009A1C23" w:rsidP="009A1C23">
      <w:pPr>
        <w:spacing w:line="276" w:lineRule="auto"/>
        <w:rPr>
          <w:rFonts w:cstheme="minorHAnsi"/>
          <w:b/>
          <w:bCs/>
          <w:color w:val="000000" w:themeColor="text1"/>
          <w:sz w:val="40"/>
          <w:szCs w:val="40"/>
          <w:shd w:val="clear" w:color="auto" w:fill="FFFFFF"/>
        </w:rPr>
      </w:pPr>
      <w:r>
        <w:rPr>
          <w:rFonts w:cstheme="minorHAnsi"/>
          <w:b/>
          <w:bCs/>
          <w:color w:val="000000" w:themeColor="text1"/>
          <w:sz w:val="40"/>
          <w:szCs w:val="40"/>
          <w:shd w:val="clear" w:color="auto" w:fill="FFFFFF"/>
        </w:rPr>
        <w:t>CO</w:t>
      </w:r>
      <w:r w:rsidRPr="009A1C23">
        <w:rPr>
          <w:rFonts w:cstheme="minorHAnsi"/>
          <w:b/>
          <w:bCs/>
          <w:color w:val="000000" w:themeColor="text1"/>
          <w:sz w:val="40"/>
          <w:szCs w:val="40"/>
          <w:shd w:val="clear" w:color="auto" w:fill="FFFFFF"/>
        </w:rPr>
        <w:t>MMODITY PRICE RISK MANAGEMENT</w:t>
      </w:r>
    </w:p>
    <w:p w14:paraId="19B44E1B" w14:textId="3DABDBD8" w:rsidR="007E53F9" w:rsidRPr="009A1C23" w:rsidRDefault="007E53F9" w:rsidP="009A1C23">
      <w:pPr>
        <w:spacing w:line="276" w:lineRule="auto"/>
        <w:rPr>
          <w:rFonts w:cstheme="minorHAnsi"/>
          <w:b/>
          <w:bCs/>
          <w:color w:val="000000" w:themeColor="text1"/>
          <w:sz w:val="24"/>
          <w:szCs w:val="24"/>
        </w:rPr>
      </w:pPr>
      <w:r w:rsidRPr="009A1C23">
        <w:rPr>
          <w:rFonts w:cstheme="minorHAnsi"/>
          <w:b/>
          <w:bCs/>
          <w:color w:val="000000" w:themeColor="text1"/>
          <w:sz w:val="24"/>
          <w:szCs w:val="24"/>
          <w:shd w:val="clear" w:color="auto" w:fill="FFFFFF"/>
        </w:rPr>
        <w:t>COMMODITY PRICE RISK</w:t>
      </w:r>
    </w:p>
    <w:p w14:paraId="71AA03F5" w14:textId="15F48114" w:rsidR="007E53F9" w:rsidRPr="009A1C23" w:rsidRDefault="008B7935" w:rsidP="009A1C23">
      <w:pPr>
        <w:spacing w:line="276" w:lineRule="auto"/>
        <w:rPr>
          <w:rFonts w:cstheme="minorHAnsi"/>
          <w:color w:val="000000" w:themeColor="text1"/>
          <w:shd w:val="clear" w:color="auto" w:fill="FFFFFF"/>
        </w:rPr>
      </w:pPr>
      <w:r w:rsidRPr="009A1C23">
        <w:rPr>
          <w:rFonts w:cstheme="minorHAnsi"/>
          <w:noProof/>
          <w:color w:val="000000" w:themeColor="text1"/>
        </w:rPr>
        <mc:AlternateContent>
          <mc:Choice Requires="wps">
            <w:drawing>
              <wp:anchor distT="0" distB="0" distL="114300" distR="114300" simplePos="0" relativeHeight="251659264" behindDoc="0" locked="0" layoutInCell="1" allowOverlap="1" wp14:anchorId="60088FE4" wp14:editId="55471993">
                <wp:simplePos x="0" y="0"/>
                <wp:positionH relativeFrom="page">
                  <wp:align>right</wp:align>
                </wp:positionH>
                <wp:positionV relativeFrom="paragraph">
                  <wp:posOffset>1524000</wp:posOffset>
                </wp:positionV>
                <wp:extent cx="361950" cy="542925"/>
                <wp:effectExtent l="0" t="0" r="0" b="9525"/>
                <wp:wrapNone/>
                <wp:docPr id="4" name="Rectangle 4"/>
                <wp:cNvGraphicFramePr/>
                <a:graphic xmlns:a="http://schemas.openxmlformats.org/drawingml/2006/main">
                  <a:graphicData uri="http://schemas.microsoft.com/office/word/2010/wordprocessingShape">
                    <wps:wsp>
                      <wps:cNvSpPr/>
                      <wps:spPr>
                        <a:xfrm>
                          <a:off x="0" y="0"/>
                          <a:ext cx="361950" cy="5429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626119" id="Rectangle 4" o:spid="_x0000_s1026" style="position:absolute;margin-left:-22.7pt;margin-top:120pt;width:28.5pt;height:42.7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W1bAIAACk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" fillcolor="white [3201]" stroked="f" strokeweight="1pt">
                <w10:wrap anchorx="page"/>
              </v:rect>
            </w:pict>
          </mc:Fallback>
        </mc:AlternateContent>
      </w:r>
      <w:r w:rsidR="00A17CA7" w:rsidRPr="009A1C23">
        <w:rPr>
          <w:rFonts w:cstheme="minorHAnsi"/>
          <w:noProof/>
          <w:color w:val="000000" w:themeColor="text1"/>
        </w:rPr>
        <w:drawing>
          <wp:anchor distT="0" distB="0" distL="114300" distR="114300" simplePos="0" relativeHeight="251658240" behindDoc="0" locked="0" layoutInCell="1" allowOverlap="1" wp14:anchorId="55A2445C" wp14:editId="2B75319E">
            <wp:simplePos x="0" y="0"/>
            <wp:positionH relativeFrom="page">
              <wp:posOffset>5476875</wp:posOffset>
            </wp:positionH>
            <wp:positionV relativeFrom="paragraph">
              <wp:posOffset>408940</wp:posOffset>
            </wp:positionV>
            <wp:extent cx="2247900" cy="2409825"/>
            <wp:effectExtent l="0" t="0" r="0" b="9525"/>
            <wp:wrapThrough wrapText="bothSides">
              <wp:wrapPolygon edited="0">
                <wp:start x="0" y="0"/>
                <wp:lineTo x="0" y="21515"/>
                <wp:lineTo x="21417" y="21515"/>
                <wp:lineTo x="21417" y="0"/>
                <wp:lineTo x="0" y="0"/>
              </wp:wrapPolygon>
            </wp:wrapThrough>
            <wp:docPr id="1" name="Picture 1" descr="Commodity Price&#10;Risk Management&#10;Presented By:&#10;Aurobinda Prasad Gayan&#10;Vice President&#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dity Price&#10;Risk Management&#10;Presented By:&#10;Aurobinda Prasad Gayan&#10;Vice President&#10; "/>
                    <pic:cNvPicPr>
                      <a:picLocks noChangeAspect="1" noChangeArrowheads="1"/>
                    </pic:cNvPicPr>
                  </pic:nvPicPr>
                  <pic:blipFill rotWithShape="1">
                    <a:blip r:embed="rId5">
                      <a:extLst>
                        <a:ext uri="{28A0092B-C50C-407E-A947-70E740481C1C}">
                          <a14:useLocalDpi xmlns:a14="http://schemas.microsoft.com/office/drawing/2010/main" val="0"/>
                        </a:ext>
                      </a:extLst>
                    </a:blip>
                    <a:srcRect t="11740" r="38636" b="20165"/>
                    <a:stretch/>
                  </pic:blipFill>
                  <pic:spPr bwMode="auto">
                    <a:xfrm>
                      <a:off x="0" y="0"/>
                      <a:ext cx="224790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53F9" w:rsidRPr="009A1C23">
        <w:rPr>
          <w:rFonts w:cstheme="minorHAnsi"/>
          <w:color w:val="000000" w:themeColor="text1"/>
          <w:shd w:val="clear" w:color="auto" w:fill="FFFFFF"/>
        </w:rPr>
        <w:t>Commodity price risk is the possibility that commodity price changes will cause financial losses for either commodity buyers or producers. Commodity price risk is a real risk to businesses and consumers, and not just to traders in commodities markets. This is because everything from raw materials to finished products depend on buying and processing various commodities, from metals and energy to agricultural and food products. As a result, changes in prices can impact things from the price of gas at the pump to that of groceries or plastic goods.</w:t>
      </w:r>
      <w:r w:rsidR="00A17CA7" w:rsidRPr="009A1C23">
        <w:rPr>
          <w:rFonts w:cstheme="minorHAnsi"/>
          <w:color w:val="000000" w:themeColor="text1"/>
          <w:shd w:val="clear" w:color="auto" w:fill="FFFFFF"/>
        </w:rPr>
        <w:t xml:space="preserve">                                                                                                                              </w:t>
      </w:r>
      <w:r w:rsidR="007E53F9" w:rsidRPr="009A1C23">
        <w:rPr>
          <w:rFonts w:cstheme="minorHAnsi"/>
          <w:color w:val="000000" w:themeColor="text1"/>
          <w:shd w:val="clear" w:color="auto" w:fill="FFFFFF"/>
        </w:rPr>
        <w:t xml:space="preserve">Factors that can influence commodity prices include </w:t>
      </w:r>
      <w:r w:rsidR="00A17CA7" w:rsidRPr="009A1C23">
        <w:rPr>
          <w:rFonts w:cstheme="minorHAnsi"/>
          <w:color w:val="000000" w:themeColor="text1"/>
          <w:shd w:val="clear" w:color="auto" w:fill="FFFFFF"/>
        </w:rPr>
        <w:t>global demand and supply scenario</w:t>
      </w:r>
      <w:r w:rsidR="007E53F9" w:rsidRPr="009A1C23">
        <w:rPr>
          <w:rFonts w:cstheme="minorHAnsi"/>
          <w:color w:val="000000" w:themeColor="text1"/>
          <w:shd w:val="clear" w:color="auto" w:fill="FFFFFF"/>
        </w:rPr>
        <w:t>,</w:t>
      </w:r>
      <w:r w:rsidR="00A17CA7" w:rsidRPr="009A1C23">
        <w:rPr>
          <w:rFonts w:cstheme="minorHAnsi"/>
          <w:color w:val="000000" w:themeColor="text1"/>
          <w:shd w:val="clear" w:color="auto" w:fill="FFFFFF"/>
        </w:rPr>
        <w:t xml:space="preserve"> inventory levels</w:t>
      </w:r>
      <w:r w:rsidR="007E53F9" w:rsidRPr="009A1C23">
        <w:rPr>
          <w:rFonts w:cstheme="minorHAnsi"/>
          <w:color w:val="000000" w:themeColor="text1"/>
          <w:shd w:val="clear" w:color="auto" w:fill="FFFFFF"/>
        </w:rPr>
        <w:t xml:space="preserve">, </w:t>
      </w:r>
      <w:r w:rsidR="00A17CA7" w:rsidRPr="009A1C23">
        <w:rPr>
          <w:rFonts w:cstheme="minorHAnsi"/>
          <w:color w:val="000000" w:themeColor="text1"/>
          <w:shd w:val="clear" w:color="auto" w:fill="FFFFFF"/>
        </w:rPr>
        <w:t>macro-economic conditions</w:t>
      </w:r>
      <w:r w:rsidR="007E53F9" w:rsidRPr="009A1C23">
        <w:rPr>
          <w:rFonts w:cstheme="minorHAnsi"/>
          <w:color w:val="000000" w:themeColor="text1"/>
          <w:shd w:val="clear" w:color="auto" w:fill="FFFFFF"/>
        </w:rPr>
        <w:t>, technology,</w:t>
      </w:r>
      <w:r w:rsidR="00A17CA7" w:rsidRPr="009A1C23">
        <w:rPr>
          <w:rFonts w:cstheme="minorHAnsi"/>
          <w:color w:val="000000" w:themeColor="text1"/>
          <w:shd w:val="clear" w:color="auto" w:fill="FFFFFF"/>
        </w:rPr>
        <w:t xml:space="preserve"> political factors</w:t>
      </w:r>
      <w:r w:rsidR="007E53F9" w:rsidRPr="009A1C23">
        <w:rPr>
          <w:rFonts w:cstheme="minorHAnsi"/>
          <w:color w:val="000000" w:themeColor="text1"/>
          <w:shd w:val="clear" w:color="auto" w:fill="FFFFFF"/>
        </w:rPr>
        <w:t xml:space="preserve"> and</w:t>
      </w:r>
      <w:r w:rsidR="00A17CA7" w:rsidRPr="009A1C23">
        <w:rPr>
          <w:rFonts w:cstheme="minorHAnsi"/>
          <w:color w:val="000000" w:themeColor="text1"/>
          <w:shd w:val="clear" w:color="auto" w:fill="FFFFFF"/>
        </w:rPr>
        <w:t xml:space="preserve"> government policies</w:t>
      </w:r>
      <w:r w:rsidR="007E53F9" w:rsidRPr="009A1C23">
        <w:rPr>
          <w:rFonts w:cstheme="minorHAnsi"/>
          <w:color w:val="000000" w:themeColor="text1"/>
          <w:shd w:val="clear" w:color="auto" w:fill="FFFFFF"/>
        </w:rPr>
        <w:t>.</w:t>
      </w:r>
    </w:p>
    <w:p w14:paraId="2C693869" w14:textId="3896E86E" w:rsidR="007E53F9" w:rsidRPr="009A1C23" w:rsidRDefault="00A17CA7" w:rsidP="009A1C23">
      <w:pPr>
        <w:spacing w:line="276" w:lineRule="auto"/>
        <w:rPr>
          <w:rFonts w:cstheme="minorHAnsi"/>
          <w:b/>
          <w:bCs/>
          <w:color w:val="000000" w:themeColor="text1"/>
          <w:sz w:val="24"/>
          <w:szCs w:val="24"/>
        </w:rPr>
      </w:pPr>
      <w:r w:rsidRPr="009A1C23">
        <w:rPr>
          <w:rFonts w:cstheme="minorHAnsi"/>
          <w:b/>
          <w:bCs/>
          <w:color w:val="000000" w:themeColor="text1"/>
          <w:sz w:val="24"/>
          <w:szCs w:val="24"/>
        </w:rPr>
        <w:t>IMPACT OF COMMODITY PRICE</w:t>
      </w:r>
    </w:p>
    <w:p w14:paraId="04BAE696" w14:textId="43D29B3A" w:rsidR="00C8374E" w:rsidRPr="009A1C23" w:rsidRDefault="008B7935" w:rsidP="009A1C23">
      <w:pPr>
        <w:spacing w:line="276" w:lineRule="auto"/>
        <w:rPr>
          <w:rFonts w:cstheme="minorHAnsi"/>
          <w:color w:val="000000" w:themeColor="text1"/>
        </w:rPr>
      </w:pPr>
      <w:r w:rsidRPr="009A1C23">
        <w:rPr>
          <w:rFonts w:cstheme="minorHAnsi"/>
          <w:color w:val="000000" w:themeColor="text1"/>
        </w:rPr>
        <w:t xml:space="preserve">A fall in commodity prices can decrease input costs for our </w:t>
      </w:r>
      <w:r w:rsidR="00C8374E" w:rsidRPr="009A1C23">
        <w:rPr>
          <w:rFonts w:cstheme="minorHAnsi"/>
          <w:color w:val="000000" w:themeColor="text1"/>
        </w:rPr>
        <w:t>company</w:t>
      </w:r>
      <w:r w:rsidRPr="009A1C23">
        <w:rPr>
          <w:rFonts w:cstheme="minorHAnsi"/>
          <w:color w:val="000000" w:themeColor="text1"/>
        </w:rPr>
        <w:t xml:space="preserve">, thus potentially increasing profitability, which in turn can lead to an increase in value of the business. It also Increases </w:t>
      </w:r>
      <w:r w:rsidR="00C8374E" w:rsidRPr="009A1C23">
        <w:rPr>
          <w:rFonts w:cstheme="minorHAnsi"/>
          <w:color w:val="000000" w:themeColor="text1"/>
        </w:rPr>
        <w:t xml:space="preserve">the </w:t>
      </w:r>
      <w:r w:rsidRPr="009A1C23">
        <w:rPr>
          <w:rFonts w:cstheme="minorHAnsi"/>
          <w:color w:val="000000" w:themeColor="text1"/>
        </w:rPr>
        <w:t>purchasing power leading to higher volumes purchased.</w:t>
      </w:r>
      <w:r w:rsidR="00C8374E" w:rsidRPr="009A1C23">
        <w:rPr>
          <w:rFonts w:cstheme="minorHAnsi"/>
          <w:color w:val="000000" w:themeColor="text1"/>
        </w:rPr>
        <w:t xml:space="preserve">                                                                                                       A rise in commodity prices can reduce profitability for our company if the business is unable to pass on the cost increases in full, potentially reducing the value of the organization. It also decreases the purchasing power.</w:t>
      </w:r>
    </w:p>
    <w:p w14:paraId="0199CDA0" w14:textId="65A63AFE" w:rsidR="00C8374E" w:rsidRPr="009A1C23" w:rsidRDefault="00C8374E" w:rsidP="009A1C23">
      <w:pPr>
        <w:spacing w:line="276" w:lineRule="auto"/>
        <w:rPr>
          <w:rFonts w:cstheme="minorHAnsi"/>
          <w:b/>
          <w:bCs/>
          <w:color w:val="000000" w:themeColor="text1"/>
          <w:sz w:val="24"/>
          <w:szCs w:val="24"/>
        </w:rPr>
      </w:pPr>
      <w:r w:rsidRPr="009A1C23">
        <w:rPr>
          <w:rFonts w:cstheme="minorHAnsi"/>
          <w:b/>
          <w:bCs/>
          <w:color w:val="000000" w:themeColor="text1"/>
          <w:sz w:val="24"/>
          <w:szCs w:val="24"/>
        </w:rPr>
        <w:t>HEDGING</w:t>
      </w:r>
    </w:p>
    <w:p w14:paraId="0F229B48" w14:textId="0446B394" w:rsidR="004451E0" w:rsidRPr="009A1C23" w:rsidRDefault="00C8374E" w:rsidP="009A1C23">
      <w:pPr>
        <w:spacing w:line="276" w:lineRule="auto"/>
        <w:rPr>
          <w:rFonts w:cstheme="minorHAnsi"/>
          <w:color w:val="000000" w:themeColor="text1"/>
          <w:shd w:val="clear" w:color="auto" w:fill="FFFFFF"/>
        </w:rPr>
      </w:pPr>
      <w:r w:rsidRPr="009A1C23">
        <w:rPr>
          <w:rFonts w:cstheme="minorHAnsi"/>
          <w:color w:val="000000" w:themeColor="text1"/>
          <w:shd w:val="clear" w:color="auto" w:fill="FFFFFF"/>
        </w:rPr>
        <w:t xml:space="preserve">Hedging in finance refers to protecting </w:t>
      </w:r>
      <w:r w:rsidR="003776EF" w:rsidRPr="009A1C23">
        <w:rPr>
          <w:rFonts w:cstheme="minorHAnsi"/>
          <w:color w:val="000000" w:themeColor="text1"/>
          <w:shd w:val="clear" w:color="auto" w:fill="FFFFFF"/>
        </w:rPr>
        <w:t>investments.</w:t>
      </w:r>
      <w:r w:rsidR="003776EF" w:rsidRPr="009A1C23">
        <w:rPr>
          <w:rFonts w:cstheme="minorHAnsi"/>
          <w:color w:val="000000" w:themeColor="text1"/>
        </w:rPr>
        <w:t xml:space="preserve"> Hedging plays a crucial role in the industry today for proper risk management and to protect shareholder value</w:t>
      </w:r>
      <w:r w:rsidRPr="009A1C23">
        <w:rPr>
          <w:rFonts w:cstheme="minorHAnsi"/>
          <w:color w:val="000000" w:themeColor="text1"/>
          <w:shd w:val="clear" w:color="auto" w:fill="F8F9FA"/>
        </w:rPr>
        <w:t>. As an investment, it protects an individual’s finances from being exposed to a risky situation that may lead to loss of value. However, hedging doesn’t necessarily mean that the investments won’t lose value at all. Rather, in the event that happens, the losses will be mitigated by gains in another investment. Hedging is recognizing the dangers that come with every investment and choosing to be protected from any untoward event that can impact one’s finances.</w:t>
      </w:r>
      <w:r w:rsidR="004451E0" w:rsidRPr="009A1C23">
        <w:rPr>
          <w:rFonts w:cstheme="minorHAnsi"/>
          <w:color w:val="000000" w:themeColor="text1"/>
        </w:rPr>
        <w:t xml:space="preserve"> Through the years, hedge funds have evolved from an investment vehicle for wealthy individuals into a tool used by institutional investors – state and corporate pensions, university endowments, non-profit foundations – to help manage investment risk, diversify portfolios and produce reliable returns over time.</w:t>
      </w:r>
      <w:r w:rsidRPr="009A1C23">
        <w:rPr>
          <w:rFonts w:cstheme="minorHAnsi"/>
          <w:color w:val="000000" w:themeColor="text1"/>
          <w:shd w:val="clear" w:color="auto" w:fill="FFFFFF"/>
        </w:rPr>
        <w:t xml:space="preserve"> Hedging techniques generally involve the use of financial instruments known as derivatives</w:t>
      </w:r>
      <w:r w:rsidR="003776EF" w:rsidRPr="009A1C23">
        <w:rPr>
          <w:rFonts w:cstheme="minorHAnsi"/>
          <w:color w:val="000000" w:themeColor="text1"/>
          <w:shd w:val="clear" w:color="auto" w:fill="FFFFFF"/>
        </w:rPr>
        <w:t>.</w:t>
      </w:r>
      <w:r w:rsidR="003776EF" w:rsidRPr="009A1C23">
        <w:rPr>
          <w:rFonts w:cstheme="minorHAnsi"/>
          <w:color w:val="000000" w:themeColor="text1"/>
        </w:rPr>
        <w:t xml:space="preserve"> Hedging can be performed by taking a long or short position against the asset or the product. Long hedge position is a strategy taken by generally producers of the commodity to protect from the prices going up in future when they have to source the asset at a future price, whereas short hedge is taken when you are already owning the asset and have to protect from the prices falling in future.</w:t>
      </w:r>
      <w:r w:rsidR="003776EF" w:rsidRPr="009A1C23">
        <w:rPr>
          <w:rFonts w:cstheme="minorHAnsi"/>
          <w:color w:val="000000" w:themeColor="text1"/>
          <w:shd w:val="clear" w:color="auto" w:fill="FFFFFF"/>
        </w:rPr>
        <w:t xml:space="preserve"> B</w:t>
      </w:r>
      <w:r w:rsidRPr="009A1C23">
        <w:rPr>
          <w:rFonts w:cstheme="minorHAnsi"/>
          <w:color w:val="000000" w:themeColor="text1"/>
          <w:shd w:val="clear" w:color="auto" w:fill="FFFFFF"/>
        </w:rPr>
        <w:t>ecause there are so many different types of options and futures contracts, an investor can hedge against nearly anything, including stocks, commodities, interest rates, or currencies.</w:t>
      </w:r>
      <w:r w:rsidR="003776EF" w:rsidRPr="009A1C23">
        <w:rPr>
          <w:rFonts w:cstheme="minorHAnsi"/>
          <w:color w:val="000000" w:themeColor="text1"/>
          <w:shd w:val="clear" w:color="auto" w:fill="FFFFFF"/>
        </w:rPr>
        <w:t xml:space="preserve">           </w:t>
      </w:r>
      <w:r w:rsidR="003776EF" w:rsidRPr="009A1C23">
        <w:rPr>
          <w:rFonts w:cstheme="minorHAnsi"/>
          <w:color w:val="000000" w:themeColor="text1"/>
        </w:rPr>
        <w:t xml:space="preserve">Hedging performed in an efficient way can lead to real value addition to the company, but there are </w:t>
      </w:r>
      <w:r w:rsidR="003776EF" w:rsidRPr="009A1C23">
        <w:rPr>
          <w:rFonts w:cstheme="minorHAnsi"/>
          <w:color w:val="000000" w:themeColor="text1"/>
        </w:rPr>
        <w:lastRenderedPageBreak/>
        <w:t xml:space="preserve">risks associated which should be carefully considered and monitored - </w:t>
      </w:r>
      <w:r w:rsidR="004451E0" w:rsidRPr="009A1C23">
        <w:rPr>
          <w:rFonts w:cstheme="minorHAnsi"/>
          <w:color w:val="000000" w:themeColor="text1"/>
        </w:rPr>
        <w:t>t</w:t>
      </w:r>
      <w:r w:rsidR="003776EF" w:rsidRPr="009A1C23">
        <w:rPr>
          <w:rFonts w:cstheme="minorHAnsi"/>
          <w:color w:val="000000" w:themeColor="text1"/>
        </w:rPr>
        <w:t xml:space="preserve">he risk of </w:t>
      </w:r>
      <w:r w:rsidR="004451E0" w:rsidRPr="009A1C23">
        <w:rPr>
          <w:rFonts w:cstheme="minorHAnsi"/>
          <w:color w:val="000000" w:themeColor="text1"/>
        </w:rPr>
        <w:t>mis selling</w:t>
      </w:r>
      <w:r w:rsidR="003776EF" w:rsidRPr="009A1C23">
        <w:rPr>
          <w:rFonts w:cstheme="minorHAnsi"/>
          <w:color w:val="000000" w:themeColor="text1"/>
        </w:rPr>
        <w:t xml:space="preserve"> funds of hedge funds</w:t>
      </w:r>
      <w:r w:rsidR="004451E0" w:rsidRPr="009A1C23">
        <w:rPr>
          <w:rFonts w:cstheme="minorHAnsi"/>
          <w:color w:val="000000" w:themeColor="text1"/>
        </w:rPr>
        <w:t>, the liquidity risk, the valuation risk, the operational/fraudulent risk related to the underlying funds and the other issues raised by the experts relate to the lack of harmonization of the funds of hedge funds’ regulations</w:t>
      </w:r>
      <w:r w:rsidR="001B6A62" w:rsidRPr="009A1C23">
        <w:rPr>
          <w:rFonts w:cstheme="minorHAnsi"/>
          <w:color w:val="000000" w:themeColor="text1"/>
          <w:shd w:val="clear" w:color="auto" w:fill="FFFFFF"/>
        </w:rPr>
        <w:t>.</w:t>
      </w:r>
    </w:p>
    <w:p w14:paraId="53A3F186" w14:textId="117528DD" w:rsidR="003776EF" w:rsidRPr="009A1C23" w:rsidRDefault="003776EF" w:rsidP="009A1C23">
      <w:pPr>
        <w:spacing w:after="0" w:line="276" w:lineRule="auto"/>
        <w:rPr>
          <w:rFonts w:eastAsia="Times New Roman" w:cstheme="minorHAnsi"/>
          <w:b/>
          <w:bCs/>
          <w:color w:val="000000" w:themeColor="text1"/>
          <w:sz w:val="24"/>
          <w:szCs w:val="24"/>
        </w:rPr>
      </w:pPr>
      <w:r w:rsidRPr="009A1C23">
        <w:rPr>
          <w:rFonts w:eastAsia="Times New Roman" w:cstheme="minorHAnsi"/>
          <w:b/>
          <w:bCs/>
          <w:color w:val="000000" w:themeColor="text1"/>
          <w:sz w:val="24"/>
          <w:szCs w:val="24"/>
        </w:rPr>
        <w:t>COMMODITY PRICE RISK – HEDGING</w:t>
      </w:r>
    </w:p>
    <w:p w14:paraId="56AD606E" w14:textId="54593400" w:rsidR="00E422E0" w:rsidRPr="009A1C23" w:rsidRDefault="00E422E0" w:rsidP="009A1C23">
      <w:pPr>
        <w:spacing w:after="0" w:line="276" w:lineRule="auto"/>
        <w:rPr>
          <w:rFonts w:eastAsia="Times New Roman" w:cstheme="minorHAnsi"/>
          <w:b/>
          <w:bCs/>
          <w:color w:val="000000" w:themeColor="text1"/>
        </w:rPr>
      </w:pPr>
    </w:p>
    <w:p w14:paraId="7D2CCE3F" w14:textId="677A967E" w:rsidR="00E422E0" w:rsidRPr="009A1C23" w:rsidRDefault="00E422E0" w:rsidP="009A1C23">
      <w:pPr>
        <w:spacing w:after="0" w:line="276" w:lineRule="auto"/>
        <w:rPr>
          <w:rFonts w:eastAsia="Times New Roman" w:cstheme="minorHAnsi"/>
          <w:b/>
          <w:bCs/>
          <w:color w:val="000000" w:themeColor="text1"/>
        </w:rPr>
      </w:pPr>
      <w:r w:rsidRPr="009A1C23">
        <w:rPr>
          <w:rStyle w:val="Strong"/>
          <w:rFonts w:cstheme="minorHAnsi"/>
          <w:b w:val="0"/>
          <w:bCs w:val="0"/>
          <w:color w:val="000000" w:themeColor="text1"/>
          <w:shd w:val="clear" w:color="auto" w:fill="FFFFFF"/>
        </w:rPr>
        <w:t>Hedging has long been a way</w:t>
      </w:r>
      <w:r w:rsidRPr="009A1C23">
        <w:rPr>
          <w:rFonts w:cstheme="minorHAnsi"/>
          <w:color w:val="000000" w:themeColor="text1"/>
          <w:shd w:val="clear" w:color="auto" w:fill="FFFFFF"/>
        </w:rPr>
        <w:t> for global commodity buyers and sellers to mitigate the risks of price fluctuations for feedstocks, which are the raw-material inputs for industrial products. Producers and consumers of commodities use futures markets to protect against adverse price moves that could result in large financial losses. A hedge will guaranty a consumer a supply of a required commodity at a set price. A hedge will guaranty a producer a known price for their commodity output. The variety of commodity inputs for industrial goods has increased with the development of products such as advanced batteries</w:t>
      </w:r>
    </w:p>
    <w:p w14:paraId="0094C437" w14:textId="75D0FF9F" w:rsidR="00E422E0" w:rsidRPr="009A1C23" w:rsidRDefault="00E422E0" w:rsidP="009A1C23">
      <w:pPr>
        <w:spacing w:line="276" w:lineRule="auto"/>
        <w:rPr>
          <w:rFonts w:cstheme="minorHAnsi"/>
          <w:color w:val="000000" w:themeColor="text1"/>
        </w:rPr>
      </w:pPr>
      <w:r w:rsidRPr="009A1C23">
        <w:rPr>
          <w:rFonts w:cstheme="minorHAnsi"/>
          <w:color w:val="000000" w:themeColor="text1"/>
        </w:rPr>
        <w:t xml:space="preserve">In our situation a hedge will guaranty us a supply of gas at a set price. The ideal plan for implementation of the Hedging program in a time bound manner would be:                                                                                                                 </w:t>
      </w:r>
    </w:p>
    <w:p w14:paraId="7EDD6CFC" w14:textId="33339250" w:rsidR="00E422E0" w:rsidRPr="009A1C23" w:rsidRDefault="00B46BA5" w:rsidP="009A1C23">
      <w:pPr>
        <w:pStyle w:val="ListParagraph"/>
        <w:numPr>
          <w:ilvl w:val="0"/>
          <w:numId w:val="1"/>
        </w:numPr>
        <w:spacing w:line="276" w:lineRule="auto"/>
        <w:rPr>
          <w:rFonts w:cstheme="minorHAnsi"/>
          <w:color w:val="000000" w:themeColor="text1"/>
        </w:rPr>
      </w:pPr>
      <w:r w:rsidRPr="009A1C23">
        <w:rPr>
          <w:rFonts w:cstheme="minorHAnsi"/>
          <w:b/>
          <w:bCs/>
          <w:noProof/>
          <w:color w:val="000000" w:themeColor="text1"/>
        </w:rPr>
        <w:drawing>
          <wp:anchor distT="0" distB="0" distL="114300" distR="114300" simplePos="0" relativeHeight="251660288" behindDoc="1" locked="0" layoutInCell="1" allowOverlap="1" wp14:anchorId="08934C5A" wp14:editId="14AE4AAF">
            <wp:simplePos x="0" y="0"/>
            <wp:positionH relativeFrom="page">
              <wp:posOffset>5295900</wp:posOffset>
            </wp:positionH>
            <wp:positionV relativeFrom="paragraph">
              <wp:posOffset>70485</wp:posOffset>
            </wp:positionV>
            <wp:extent cx="2381250" cy="1933575"/>
            <wp:effectExtent l="0" t="19050" r="95250" b="28575"/>
            <wp:wrapSquare wrapText="bothSides"/>
            <wp:docPr id="5" name="Diagram 5">
              <a:extLst xmlns:a="http://schemas.openxmlformats.org/drawingml/2006/main">
                <a:ext uri="{FF2B5EF4-FFF2-40B4-BE49-F238E27FC236}">
                  <a16:creationId xmlns:a16="http://schemas.microsoft.com/office/drawing/2014/main" id="{346CC32F-3C26-405A-B09A-6BEC7C7D67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9A1C23">
        <w:rPr>
          <w:rFonts w:cstheme="minorHAnsi"/>
          <w:b/>
          <w:bCs/>
          <w:color w:val="000000" w:themeColor="text1"/>
        </w:rPr>
        <w:t>EXPOSURE COLLATION AND AGGREGATION</w:t>
      </w:r>
      <w:r w:rsidR="00E422E0" w:rsidRPr="009A1C23">
        <w:rPr>
          <w:rFonts w:cstheme="minorHAnsi"/>
          <w:color w:val="000000" w:themeColor="text1"/>
        </w:rPr>
        <w:t>: Identification and recognition of commodity exposures based on type for procurement and maturity profile of the procurement.</w:t>
      </w:r>
    </w:p>
    <w:p w14:paraId="2DF9FC4F" w14:textId="52DCE228" w:rsidR="00E422E0" w:rsidRPr="009A1C23" w:rsidRDefault="00B46BA5"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RISK QUANTIFICATION AND ASSESSMENT OF POTENTIAL IMPACT</w:t>
      </w:r>
      <w:r w:rsidR="00E422E0" w:rsidRPr="009A1C23">
        <w:rPr>
          <w:rFonts w:cstheme="minorHAnsi"/>
          <w:color w:val="000000" w:themeColor="text1"/>
        </w:rPr>
        <w:t xml:space="preserve">: Quantification of </w:t>
      </w:r>
      <w:r w:rsidR="001B6A62" w:rsidRPr="009A1C23">
        <w:rPr>
          <w:rFonts w:cstheme="minorHAnsi"/>
          <w:color w:val="000000" w:themeColor="text1"/>
        </w:rPr>
        <w:t>risk-based</w:t>
      </w:r>
      <w:r w:rsidR="00E422E0" w:rsidRPr="009A1C23">
        <w:rPr>
          <w:rFonts w:cstheme="minorHAnsi"/>
          <w:color w:val="000000" w:themeColor="text1"/>
        </w:rPr>
        <w:t xml:space="preserve"> pricing and market movements and assessment of factors affecting off-set between hedges and underlying exposure</w:t>
      </w:r>
      <w:r w:rsidR="001B6A62" w:rsidRPr="009A1C23">
        <w:rPr>
          <w:rFonts w:cstheme="minorHAnsi"/>
          <w:color w:val="000000" w:themeColor="text1"/>
        </w:rPr>
        <w:t>.</w:t>
      </w:r>
    </w:p>
    <w:p w14:paraId="47AC4167" w14:textId="15AA7E64" w:rsidR="00E422E0" w:rsidRPr="009A1C23" w:rsidRDefault="00B46BA5" w:rsidP="009A1C23">
      <w:pPr>
        <w:pStyle w:val="ListParagraph"/>
        <w:numPr>
          <w:ilvl w:val="0"/>
          <w:numId w:val="1"/>
        </w:numPr>
        <w:spacing w:line="276" w:lineRule="auto"/>
        <w:rPr>
          <w:rFonts w:cstheme="minorHAnsi"/>
          <w:color w:val="000000" w:themeColor="text1"/>
        </w:rPr>
      </w:pPr>
      <w:r w:rsidRPr="009A1C23">
        <w:rPr>
          <w:rFonts w:cstheme="minorHAnsi"/>
          <w:b/>
          <w:bCs/>
          <w:noProof/>
          <w:color w:val="000000" w:themeColor="text1"/>
        </w:rPr>
        <w:drawing>
          <wp:anchor distT="0" distB="0" distL="114300" distR="114300" simplePos="0" relativeHeight="251661312" behindDoc="0" locked="0" layoutInCell="1" allowOverlap="1" wp14:anchorId="3AC32B12" wp14:editId="33583252">
            <wp:simplePos x="0" y="0"/>
            <wp:positionH relativeFrom="page">
              <wp:posOffset>5295900</wp:posOffset>
            </wp:positionH>
            <wp:positionV relativeFrom="paragraph">
              <wp:posOffset>535940</wp:posOffset>
            </wp:positionV>
            <wp:extent cx="2419350" cy="1905000"/>
            <wp:effectExtent l="0" t="19050" r="19050" b="38100"/>
            <wp:wrapSquare wrapText="bothSides"/>
            <wp:docPr id="7" name="Diagram 7">
              <a:extLst xmlns:a="http://schemas.openxmlformats.org/drawingml/2006/main">
                <a:ext uri="{FF2B5EF4-FFF2-40B4-BE49-F238E27FC236}">
                  <a16:creationId xmlns:a16="http://schemas.microsoft.com/office/drawing/2014/main" id="{346CC32F-3C26-405A-B09A-6BEC7C7D67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9A1C23">
        <w:rPr>
          <w:rFonts w:cstheme="minorHAnsi"/>
          <w:b/>
          <w:bCs/>
          <w:color w:val="000000" w:themeColor="text1"/>
        </w:rPr>
        <w:t>DECISION SUPPORT &amp; SETTING HEDGE RATIOS</w:t>
      </w:r>
      <w:r w:rsidR="001B6A62" w:rsidRPr="009A1C23">
        <w:rPr>
          <w:rFonts w:cstheme="minorHAnsi"/>
          <w:color w:val="000000" w:themeColor="text1"/>
        </w:rPr>
        <w:t>:</w:t>
      </w:r>
      <w:r w:rsidR="00E422E0" w:rsidRPr="009A1C23">
        <w:rPr>
          <w:rFonts w:cstheme="minorHAnsi"/>
          <w:color w:val="000000" w:themeColor="text1"/>
        </w:rPr>
        <w:t xml:space="preserve"> Limits to market operations and monitoring for the same and setting of the hedge </w:t>
      </w:r>
      <w:r w:rsidR="001B6A62" w:rsidRPr="009A1C23">
        <w:rPr>
          <w:rFonts w:cstheme="minorHAnsi"/>
          <w:color w:val="000000" w:themeColor="text1"/>
        </w:rPr>
        <w:t>ratios based</w:t>
      </w:r>
      <w:r w:rsidR="00E422E0" w:rsidRPr="009A1C23">
        <w:rPr>
          <w:rFonts w:cstheme="minorHAnsi"/>
          <w:color w:val="000000" w:themeColor="text1"/>
        </w:rPr>
        <w:t xml:space="preserve"> on risk appetite</w:t>
      </w:r>
      <w:r w:rsidR="001B6A62" w:rsidRPr="009A1C23">
        <w:rPr>
          <w:rFonts w:cstheme="minorHAnsi"/>
          <w:color w:val="000000" w:themeColor="text1"/>
        </w:rPr>
        <w:t>.</w:t>
      </w:r>
    </w:p>
    <w:p w14:paraId="1804E870" w14:textId="28436F28" w:rsidR="00E422E0" w:rsidRPr="009A1C23" w:rsidRDefault="00B46BA5"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PRICE FIXING ARRANGEMENTS</w:t>
      </w:r>
      <w:r w:rsidR="001B6A62" w:rsidRPr="009A1C23">
        <w:rPr>
          <w:rFonts w:cstheme="minorHAnsi"/>
          <w:color w:val="000000" w:themeColor="text1"/>
        </w:rPr>
        <w:t>:</w:t>
      </w:r>
      <w:r w:rsidR="00E422E0" w:rsidRPr="009A1C23">
        <w:rPr>
          <w:rFonts w:cstheme="minorHAnsi"/>
          <w:color w:val="000000" w:themeColor="text1"/>
        </w:rPr>
        <w:t xml:space="preserve"> Lock-in of purchase price to minimize</w:t>
      </w:r>
      <w:r w:rsidR="003617A4" w:rsidRPr="009A1C23">
        <w:rPr>
          <w:rFonts w:cstheme="minorHAnsi"/>
          <w:color w:val="000000" w:themeColor="text1"/>
        </w:rPr>
        <w:t xml:space="preserve"> </w:t>
      </w:r>
      <w:r w:rsidR="00E422E0" w:rsidRPr="009A1C23">
        <w:rPr>
          <w:rFonts w:cstheme="minorHAnsi"/>
          <w:color w:val="000000" w:themeColor="text1"/>
        </w:rPr>
        <w:t>impact on inventory value and structured margins</w:t>
      </w:r>
      <w:r w:rsidR="001B6A62" w:rsidRPr="009A1C23">
        <w:rPr>
          <w:rFonts w:cstheme="minorHAnsi"/>
          <w:color w:val="000000" w:themeColor="text1"/>
        </w:rPr>
        <w:t>.</w:t>
      </w:r>
      <w:r w:rsidRPr="009A1C23">
        <w:rPr>
          <w:rFonts w:cstheme="minorHAnsi"/>
          <w:noProof/>
          <w:color w:val="000000" w:themeColor="text1"/>
        </w:rPr>
        <w:t xml:space="preserve"> </w:t>
      </w:r>
    </w:p>
    <w:p w14:paraId="681CB362" w14:textId="45758282" w:rsidR="00E422E0" w:rsidRPr="009A1C23" w:rsidRDefault="003617A4"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RE-BALANCING INSTRUMENT MIX</w:t>
      </w:r>
      <w:r w:rsidR="001B6A62" w:rsidRPr="009A1C23">
        <w:rPr>
          <w:rFonts w:cstheme="minorHAnsi"/>
          <w:color w:val="000000" w:themeColor="text1"/>
        </w:rPr>
        <w:t>:</w:t>
      </w:r>
      <w:r w:rsidR="00E422E0" w:rsidRPr="009A1C23">
        <w:rPr>
          <w:rFonts w:cstheme="minorHAnsi"/>
          <w:color w:val="000000" w:themeColor="text1"/>
        </w:rPr>
        <w:t xml:space="preserve"> Decision support to re-balance hedging instruments and </w:t>
      </w:r>
      <w:r w:rsidR="00B46BA5" w:rsidRPr="009A1C23">
        <w:rPr>
          <w:rFonts w:cstheme="minorHAnsi"/>
          <w:color w:val="000000" w:themeColor="text1"/>
        </w:rPr>
        <w:t>pricing options</w:t>
      </w:r>
      <w:r w:rsidR="00E422E0" w:rsidRPr="009A1C23">
        <w:rPr>
          <w:rFonts w:cstheme="minorHAnsi"/>
          <w:color w:val="000000" w:themeColor="text1"/>
        </w:rPr>
        <w:t xml:space="preserve"> based on market movements and hedging strategy</w:t>
      </w:r>
      <w:r w:rsidR="001B6A62" w:rsidRPr="009A1C23">
        <w:rPr>
          <w:rFonts w:cstheme="minorHAnsi"/>
          <w:color w:val="000000" w:themeColor="text1"/>
        </w:rPr>
        <w:t>.</w:t>
      </w:r>
    </w:p>
    <w:p w14:paraId="0C0EEC92" w14:textId="080B8EFC" w:rsidR="00E422E0" w:rsidRPr="009A1C23" w:rsidRDefault="003617A4"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HEDGE TRANSACTION EXECUTION</w:t>
      </w:r>
      <w:r w:rsidR="001B6A62" w:rsidRPr="009A1C23">
        <w:rPr>
          <w:rFonts w:cstheme="minorHAnsi"/>
          <w:color w:val="000000" w:themeColor="text1"/>
        </w:rPr>
        <w:t>:</w:t>
      </w:r>
      <w:r w:rsidR="00E422E0" w:rsidRPr="009A1C23">
        <w:rPr>
          <w:rFonts w:cstheme="minorHAnsi"/>
          <w:color w:val="000000" w:themeColor="text1"/>
        </w:rPr>
        <w:t xml:space="preserve"> Entering into hedge transaction using </w:t>
      </w:r>
      <w:r w:rsidR="001B6A62" w:rsidRPr="009A1C23">
        <w:rPr>
          <w:rFonts w:cstheme="minorHAnsi"/>
          <w:color w:val="000000" w:themeColor="text1"/>
        </w:rPr>
        <w:t>derivatives</w:t>
      </w:r>
      <w:r w:rsidR="00E422E0" w:rsidRPr="009A1C23">
        <w:rPr>
          <w:rFonts w:cstheme="minorHAnsi"/>
          <w:color w:val="000000" w:themeColor="text1"/>
        </w:rPr>
        <w:t>, establishing hedge rationale &amp; basic documentation support and linking hedges to underlying exposures</w:t>
      </w:r>
      <w:r w:rsidR="001B6A62" w:rsidRPr="009A1C23">
        <w:rPr>
          <w:rFonts w:cstheme="minorHAnsi"/>
          <w:color w:val="000000" w:themeColor="text1"/>
        </w:rPr>
        <w:t>.</w:t>
      </w:r>
    </w:p>
    <w:p w14:paraId="5CFF646D" w14:textId="450F4FB0" w:rsidR="001B6A62" w:rsidRPr="009A1C23" w:rsidRDefault="003617A4"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P/L AND MTM COMPUTATION</w:t>
      </w:r>
      <w:r w:rsidR="00B46BA5" w:rsidRPr="009A1C23">
        <w:rPr>
          <w:rFonts w:cstheme="minorHAnsi"/>
          <w:color w:val="000000" w:themeColor="text1"/>
        </w:rPr>
        <w:t>:</w:t>
      </w:r>
      <w:r w:rsidR="00E422E0" w:rsidRPr="009A1C23">
        <w:rPr>
          <w:rFonts w:cstheme="minorHAnsi"/>
          <w:color w:val="000000" w:themeColor="text1"/>
        </w:rPr>
        <w:t xml:space="preserve"> Mark</w:t>
      </w:r>
      <w:r w:rsidR="001B6A62" w:rsidRPr="009A1C23">
        <w:rPr>
          <w:rFonts w:cstheme="minorHAnsi"/>
          <w:color w:val="000000" w:themeColor="text1"/>
        </w:rPr>
        <w:t xml:space="preserve"> </w:t>
      </w:r>
      <w:r w:rsidR="00E422E0" w:rsidRPr="009A1C23">
        <w:rPr>
          <w:rFonts w:cstheme="minorHAnsi"/>
          <w:color w:val="000000" w:themeColor="text1"/>
        </w:rPr>
        <w:t xml:space="preserve">market value of hedge and exposure on a specific date of hedges &amp; exposures to track performance on an ongoing basis along with profit &amp; loss computations to assess extent of off-set from underlying and hedge positions </w:t>
      </w:r>
    </w:p>
    <w:p w14:paraId="1B67558A" w14:textId="3E0C1976" w:rsidR="00E422E0" w:rsidRPr="009A1C23" w:rsidRDefault="003617A4" w:rsidP="009A1C23">
      <w:pPr>
        <w:pStyle w:val="ListParagraph"/>
        <w:numPr>
          <w:ilvl w:val="0"/>
          <w:numId w:val="1"/>
        </w:numPr>
        <w:spacing w:line="276" w:lineRule="auto"/>
        <w:rPr>
          <w:rFonts w:cstheme="minorHAnsi"/>
          <w:color w:val="000000" w:themeColor="text1"/>
        </w:rPr>
      </w:pPr>
      <w:r w:rsidRPr="009A1C23">
        <w:rPr>
          <w:rFonts w:cstheme="minorHAnsi"/>
          <w:b/>
          <w:bCs/>
          <w:color w:val="000000" w:themeColor="text1"/>
        </w:rPr>
        <w:t>HEDGE PERFORMANCE ASSESSMENT</w:t>
      </w:r>
      <w:r w:rsidR="001B6A62" w:rsidRPr="009A1C23">
        <w:rPr>
          <w:rFonts w:cstheme="minorHAnsi"/>
          <w:color w:val="000000" w:themeColor="text1"/>
        </w:rPr>
        <w:t>:</w:t>
      </w:r>
      <w:r w:rsidR="00E422E0" w:rsidRPr="009A1C23">
        <w:rPr>
          <w:rFonts w:cstheme="minorHAnsi"/>
          <w:color w:val="000000" w:themeColor="text1"/>
        </w:rPr>
        <w:t xml:space="preserve"> Assess hedge performance based on degree of offset achieve</w:t>
      </w:r>
      <w:r w:rsidR="001B6A62" w:rsidRPr="009A1C23">
        <w:rPr>
          <w:rFonts w:cstheme="minorHAnsi"/>
          <w:color w:val="000000" w:themeColor="text1"/>
        </w:rPr>
        <w:t>d on the underlying exposure along with other performance and risk indicators.</w:t>
      </w:r>
    </w:p>
    <w:p w14:paraId="3390D5BA" w14:textId="77777777" w:rsidR="003617A4" w:rsidRPr="009A1C23" w:rsidRDefault="003617A4" w:rsidP="009A1C23">
      <w:pPr>
        <w:spacing w:line="276" w:lineRule="auto"/>
        <w:rPr>
          <w:rFonts w:cstheme="minorHAnsi"/>
          <w:b/>
          <w:bCs/>
          <w:color w:val="000000" w:themeColor="text1"/>
        </w:rPr>
      </w:pPr>
    </w:p>
    <w:p w14:paraId="562B6449" w14:textId="77777777" w:rsidR="003617A4" w:rsidRPr="009A1C23" w:rsidRDefault="003617A4" w:rsidP="009A1C23">
      <w:pPr>
        <w:spacing w:line="276" w:lineRule="auto"/>
        <w:rPr>
          <w:rFonts w:cstheme="minorHAnsi"/>
          <w:b/>
          <w:bCs/>
          <w:color w:val="000000" w:themeColor="text1"/>
        </w:rPr>
      </w:pPr>
    </w:p>
    <w:p w14:paraId="7139AC17" w14:textId="59B32926" w:rsidR="003617A4" w:rsidRPr="009A1C23" w:rsidRDefault="003617A4" w:rsidP="009A1C23">
      <w:pPr>
        <w:spacing w:line="276" w:lineRule="auto"/>
        <w:rPr>
          <w:rFonts w:cstheme="minorHAnsi"/>
          <w:b/>
          <w:bCs/>
          <w:color w:val="000000" w:themeColor="text1"/>
        </w:rPr>
      </w:pPr>
      <w:r w:rsidRPr="009A1C23">
        <w:rPr>
          <w:rFonts w:cstheme="minorHAnsi"/>
          <w:b/>
          <w:bCs/>
          <w:color w:val="000000" w:themeColor="text1"/>
          <w:sz w:val="24"/>
          <w:szCs w:val="24"/>
        </w:rPr>
        <w:t>TYPE OF DERIVATIVES WHICH CAN BE USED</w:t>
      </w:r>
      <w:r w:rsidRPr="009A1C23">
        <w:rPr>
          <w:rFonts w:cstheme="minorHAnsi"/>
          <w:b/>
          <w:bCs/>
          <w:color w:val="000000" w:themeColor="text1"/>
        </w:rPr>
        <w:t>:</w:t>
      </w:r>
    </w:p>
    <w:p w14:paraId="493E6E78" w14:textId="2A765C4B" w:rsidR="003617A4" w:rsidRPr="009A1C23" w:rsidRDefault="003617A4" w:rsidP="009A1C23">
      <w:pPr>
        <w:spacing w:line="276" w:lineRule="auto"/>
        <w:rPr>
          <w:rFonts w:cstheme="minorHAnsi"/>
          <w:color w:val="000000" w:themeColor="text1"/>
        </w:rPr>
      </w:pPr>
      <w:r w:rsidRPr="009A1C23">
        <w:rPr>
          <w:rFonts w:cstheme="minorHAnsi"/>
          <w:color w:val="000000" w:themeColor="text1"/>
        </w:rPr>
        <w:t>There are various financial instruments(derivatives), which can be used to hedge commodity price risk. Broadly, these instruments consist of futures, forward contracts, options and swaps.</w:t>
      </w:r>
    </w:p>
    <w:p w14:paraId="19BF6EC8" w14:textId="7D0F5B7C" w:rsidR="003617A4" w:rsidRPr="009A1C23" w:rsidRDefault="003617A4" w:rsidP="009A1C23">
      <w:pPr>
        <w:spacing w:line="276" w:lineRule="auto"/>
        <w:rPr>
          <w:rFonts w:cstheme="minorHAnsi"/>
          <w:color w:val="000000" w:themeColor="text1"/>
        </w:rPr>
      </w:pPr>
      <w:r w:rsidRPr="009A1C23">
        <w:rPr>
          <w:rFonts w:cstheme="minorHAnsi"/>
          <w:b/>
          <w:bCs/>
          <w:color w:val="000000" w:themeColor="text1"/>
        </w:rPr>
        <w:t>COMMODITY FUTURES</w:t>
      </w:r>
      <w:r w:rsidRPr="009A1C23">
        <w:rPr>
          <w:rFonts w:cstheme="minorHAnsi"/>
          <w:color w:val="000000" w:themeColor="text1"/>
        </w:rPr>
        <w:t>: Commodity futures are contracts to buy or sell a commodity at a specified future date.</w:t>
      </w:r>
      <w:r w:rsidR="00726423" w:rsidRPr="009A1C23">
        <w:rPr>
          <w:rFonts w:cstheme="minorHAnsi"/>
          <w:color w:val="000000" w:themeColor="text1"/>
        </w:rPr>
        <w:t xml:space="preserve">                                                                                                                                                                </w:t>
      </w:r>
      <w:r w:rsidRPr="009A1C23">
        <w:rPr>
          <w:rFonts w:cstheme="minorHAnsi"/>
          <w:color w:val="000000" w:themeColor="text1"/>
        </w:rPr>
        <w:t>Commodity futures contracts are regulated and traded on exchanges and therefore standardized in terms of the quantity and characteristics of the underlying commodity. Although futures contracts are based on a future sale of a commodity, they are typically cash settled and rarely end in physical delivery.</w:t>
      </w:r>
      <w:r w:rsidRPr="009A1C23">
        <w:rPr>
          <w:rFonts w:cstheme="minorHAnsi"/>
          <w:color w:val="000000" w:themeColor="text1"/>
          <w:shd w:val="clear" w:color="auto" w:fill="FFFFFF"/>
        </w:rPr>
        <w:t xml:space="preserve"> Additionally, futures contracts are liquid instruments, meaning there's a lot of trading activity in them and they're generally easy to buy and sell.</w:t>
      </w:r>
      <w:r w:rsidRPr="009A1C23">
        <w:rPr>
          <w:rFonts w:cstheme="minorHAnsi"/>
          <w:color w:val="000000" w:themeColor="text1"/>
        </w:rPr>
        <w:t xml:space="preserve"> Futures cover a wide range of commodities in agriculture, raw materials, metals and energy. Due to the emergence of financial futures, which are based on financial assets and indices such as stocks, treasury bills, interest rates or exchange rates rather than commodities, trade in commodity futures today constitutes a relatively small share of the entire futures market. </w:t>
      </w:r>
    </w:p>
    <w:p w14:paraId="51AE74D0" w14:textId="5571E6A2" w:rsidR="00726423" w:rsidRPr="009A1C23" w:rsidRDefault="003617A4" w:rsidP="009A1C23">
      <w:pPr>
        <w:spacing w:line="276" w:lineRule="auto"/>
        <w:rPr>
          <w:rFonts w:cstheme="minorHAnsi"/>
          <w:color w:val="000000" w:themeColor="text1"/>
        </w:rPr>
      </w:pPr>
      <w:r w:rsidRPr="009A1C23">
        <w:rPr>
          <w:rFonts w:cstheme="minorHAnsi"/>
          <w:b/>
          <w:bCs/>
          <w:color w:val="000000" w:themeColor="text1"/>
        </w:rPr>
        <w:t xml:space="preserve">FORWARD CONTRACTS: </w:t>
      </w:r>
      <w:r w:rsidRPr="009A1C23">
        <w:rPr>
          <w:rFonts w:cstheme="minorHAnsi"/>
          <w:color w:val="000000" w:themeColor="text1"/>
        </w:rPr>
        <w:t>Forward contracts</w:t>
      </w:r>
      <w:r w:rsidR="00726423" w:rsidRPr="009A1C23">
        <w:rPr>
          <w:rFonts w:cstheme="minorHAnsi"/>
          <w:color w:val="000000" w:themeColor="text1"/>
        </w:rPr>
        <w:t xml:space="preserve"> are similar to futures in that they are based on the agreement of a future sale of a commodity.                                                                                                           The main difference between the two instruments is that forward contracts are not standardized and generally traded over the counter rather than on exchanges. This means that the transaction costs for hedging price risk using forward contracts can be higher than for futures. Forward contracts can be customized to fit the specific needs of contract parties meaning the parties involved can agree on a fixed price for the sale of a commodity or a future reference price and stipulate other individual contract characteristics. Also forward contracts carry the risk of default by one of the contract parties because there is no clearing house involved. Forward contracts are often used by physical commodity traders to hedge price risk and the market for commodity forward contracts is very heterogeneous.</w:t>
      </w:r>
    </w:p>
    <w:p w14:paraId="2406221B" w14:textId="77777777" w:rsidR="00726423" w:rsidRPr="009A1C23" w:rsidRDefault="00726423" w:rsidP="009A1C23">
      <w:pPr>
        <w:spacing w:line="276" w:lineRule="auto"/>
        <w:rPr>
          <w:rFonts w:cstheme="minorHAnsi"/>
          <w:color w:val="000000" w:themeColor="text1"/>
        </w:rPr>
      </w:pPr>
      <w:r w:rsidRPr="009A1C23">
        <w:rPr>
          <w:rFonts w:cstheme="minorHAnsi"/>
          <w:b/>
          <w:bCs/>
          <w:color w:val="000000" w:themeColor="text1"/>
        </w:rPr>
        <w:t xml:space="preserve">OPTIONS: </w:t>
      </w:r>
      <w:r w:rsidRPr="009A1C23">
        <w:rPr>
          <w:rFonts w:cstheme="minorHAnsi"/>
          <w:color w:val="000000" w:themeColor="text1"/>
        </w:rPr>
        <w:t>Options are instruments that allow buyers and sellers of a commodity to lock in a minimum price and maximum price, respectively.                                                                                                                     The buyer of an option pays the counterparty a premium for the right to buy or sell the underlying commodity at a pre-specified price on or before an expiration date. Call options give the holder the right to buy the underlying commodity, while put options represent the right to sell the underlying commodity. Options entail no obligation to buy or sell a commodity and, if they are not used, the premium is the only cost to the holders. Options are comparatively new financial instruments.</w:t>
      </w:r>
    </w:p>
    <w:p w14:paraId="61F2BFBE" w14:textId="38B2BF74" w:rsidR="00447615" w:rsidRPr="009A1C23" w:rsidRDefault="00726423" w:rsidP="009A1C23">
      <w:pPr>
        <w:spacing w:line="276" w:lineRule="auto"/>
        <w:rPr>
          <w:rFonts w:cstheme="minorHAnsi"/>
          <w:color w:val="000000" w:themeColor="text1"/>
        </w:rPr>
      </w:pPr>
      <w:r w:rsidRPr="009A1C23">
        <w:rPr>
          <w:rFonts w:cstheme="minorHAnsi"/>
          <w:b/>
          <w:bCs/>
          <w:color w:val="000000" w:themeColor="text1"/>
        </w:rPr>
        <w:t xml:space="preserve">SWAPS: </w:t>
      </w:r>
      <w:r w:rsidRPr="009A1C23">
        <w:rPr>
          <w:rFonts w:cstheme="minorHAnsi"/>
          <w:color w:val="000000" w:themeColor="text1"/>
        </w:rPr>
        <w:t>Swaps are financial instruments where contract parties exchange cash flows that are based on the price of an underlying commodity.                                                                                                                            Swaps are often used by commodity consumers to lock in commodity prices over the medium to long term. We can use swap contracts to hedge the risk of rising gas prices.</w:t>
      </w:r>
      <w:r w:rsidR="00447615" w:rsidRPr="009A1C23">
        <w:rPr>
          <w:rFonts w:cstheme="minorHAnsi"/>
          <w:color w:val="000000" w:themeColor="text1"/>
        </w:rPr>
        <w:t xml:space="preserve"> if the price increases beyond the pre-specified price our company receives a payment equivalent to the price difference for a notional </w:t>
      </w:r>
      <w:r w:rsidR="00447615" w:rsidRPr="009A1C23">
        <w:rPr>
          <w:rFonts w:cstheme="minorHAnsi"/>
          <w:color w:val="000000" w:themeColor="text1"/>
        </w:rPr>
        <w:lastRenderedPageBreak/>
        <w:t>quantity stipulated in the contract. In case of a decrease in the price of gas, the company pays an amount equal to the difference in price. In both cases, the company is guaranteed a fixed gas price and has used the swap agreement to hedge price risk.</w:t>
      </w:r>
    </w:p>
    <w:p w14:paraId="3C67A067" w14:textId="31824B9E" w:rsidR="00447615" w:rsidRPr="009A1C23" w:rsidRDefault="00447615" w:rsidP="009A1C23">
      <w:pPr>
        <w:spacing w:line="276" w:lineRule="auto"/>
        <w:rPr>
          <w:rFonts w:cstheme="minorHAnsi"/>
          <w:color w:val="000000" w:themeColor="text1"/>
          <w:shd w:val="clear" w:color="auto" w:fill="FFFFFF"/>
        </w:rPr>
      </w:pPr>
      <w:r w:rsidRPr="009A1C23">
        <w:rPr>
          <w:rFonts w:cstheme="minorHAnsi"/>
          <w:color w:val="000000" w:themeColor="text1"/>
        </w:rPr>
        <w:t xml:space="preserve">However, after selecting the derivative and hedging we should remember </w:t>
      </w:r>
      <w:r w:rsidRPr="009A1C23">
        <w:rPr>
          <w:rFonts w:cstheme="minorHAnsi"/>
          <w:color w:val="000000" w:themeColor="text1"/>
          <w:shd w:val="clear" w:color="auto" w:fill="FFFFFF"/>
        </w:rPr>
        <w:t>Warren Buffett's famous stand: He has attacked all derivatives, saying he and his company "view them as time bombs, both for the parties that deal in them and the economic system...derivatives are financial weapons of mass destruction, carrying dangers that, while now latent, are potentially lethal."</w:t>
      </w:r>
    </w:p>
    <w:p w14:paraId="6E9BA74A" w14:textId="1F776B80" w:rsidR="00447615" w:rsidRPr="009A1C23" w:rsidRDefault="00576208" w:rsidP="009A1C23">
      <w:pPr>
        <w:spacing w:line="276" w:lineRule="auto"/>
        <w:rPr>
          <w:rFonts w:cstheme="minorHAnsi"/>
          <w:color w:val="000000" w:themeColor="text1"/>
          <w:shd w:val="clear" w:color="auto" w:fill="FFFFFF"/>
        </w:rPr>
      </w:pPr>
      <w:r w:rsidRPr="009A1C23">
        <w:rPr>
          <w:rFonts w:cstheme="minorHAnsi"/>
          <w:color w:val="000000" w:themeColor="text1"/>
          <w:shd w:val="clear" w:color="auto" w:fill="FFFFFF"/>
        </w:rPr>
        <w:t xml:space="preserve">The availability of new financial instruments to help hedge the price volatility of commodities presents an opportunity to reduce the companies’ financial risk. We might struggle to gain from commodity hedging if we do not utilize hedging as part of a comprehensive risk management program. </w:t>
      </w:r>
      <w:r w:rsidR="00447615" w:rsidRPr="009A1C23">
        <w:rPr>
          <w:rFonts w:cstheme="minorHAnsi"/>
          <w:color w:val="000000" w:themeColor="text1"/>
          <w:shd w:val="clear" w:color="auto" w:fill="FFFFFF"/>
        </w:rPr>
        <w:t>Commodity hedging is an opportunity only if companies approach it as a component of a comprehensive risk management program aimed at mitigating EBITDA-margin volatility. Such an approach requires the involvement of multiple parts of the organization, a deep understanding of a company’s exposure to commodity price risks, and an optimized hedging strategy. The best hedging strategy should involve considerations of different hedging avenues, including long-term fixed-price arrangements with both suppliers and buyers as well as an expanded presence in the value chain</w:t>
      </w:r>
      <w:r w:rsidR="00AD3F58" w:rsidRPr="009A1C23">
        <w:rPr>
          <w:rFonts w:cstheme="minorHAnsi"/>
          <w:color w:val="000000" w:themeColor="text1"/>
          <w:shd w:val="clear" w:color="auto" w:fill="FFFFFF"/>
        </w:rPr>
        <w:t xml:space="preserve"> (</w:t>
      </w:r>
      <w:r w:rsidR="00AD3F58" w:rsidRPr="009A1C23">
        <w:rPr>
          <w:rFonts w:cstheme="minorHAnsi"/>
          <w:color w:val="000000" w:themeColor="text1"/>
        </w:rPr>
        <w:t>a process where a firm identifies its primary and support activities that add value to its final product and then analyze these activities to reduce costs, increase profitability or increase differentiation)</w:t>
      </w:r>
      <w:r w:rsidR="00447615" w:rsidRPr="009A1C23">
        <w:rPr>
          <w:rFonts w:cstheme="minorHAnsi"/>
          <w:color w:val="000000" w:themeColor="text1"/>
          <w:shd w:val="clear" w:color="auto" w:fill="FFFFFF"/>
        </w:rPr>
        <w:t xml:space="preserve"> to avoid exposure to intermediate markets or financial instruments.</w:t>
      </w:r>
      <w:r w:rsidRPr="009A1C23">
        <w:rPr>
          <w:rFonts w:cstheme="minorHAnsi"/>
          <w:color w:val="000000" w:themeColor="text1"/>
          <w:shd w:val="clear" w:color="auto" w:fill="FFFFFF"/>
        </w:rPr>
        <w:t xml:space="preserve"> Also, A comprehensive understanding of hedging instruments is also crucial as liquidity differs between instruments and hedging commodities that have limited liquidity can introduce additional risk into an organization’s hedging strategy </w:t>
      </w:r>
      <w:r w:rsidR="00447615" w:rsidRPr="009A1C23">
        <w:rPr>
          <w:rFonts w:cstheme="minorHAnsi"/>
          <w:color w:val="000000" w:themeColor="text1"/>
          <w:shd w:val="clear" w:color="auto" w:fill="FFFFFF"/>
        </w:rPr>
        <w:t>Therefore, it is critical to consider all options before selecting an approach</w:t>
      </w:r>
      <w:r w:rsidRPr="009A1C23">
        <w:rPr>
          <w:rFonts w:cstheme="minorHAnsi"/>
          <w:color w:val="000000" w:themeColor="text1"/>
          <w:shd w:val="clear" w:color="auto" w:fill="FFFFFF"/>
        </w:rPr>
        <w:t>. We can</w:t>
      </w:r>
      <w:r w:rsidR="00447615" w:rsidRPr="009A1C23">
        <w:rPr>
          <w:rFonts w:cstheme="minorHAnsi"/>
          <w:color w:val="000000" w:themeColor="text1"/>
          <w:shd w:val="clear" w:color="auto" w:fill="FFFFFF"/>
        </w:rPr>
        <w:t xml:space="preserve"> successfully hedge commodity prices </w:t>
      </w:r>
      <w:r w:rsidRPr="009A1C23">
        <w:rPr>
          <w:rFonts w:cstheme="minorHAnsi"/>
          <w:color w:val="000000" w:themeColor="text1"/>
          <w:shd w:val="clear" w:color="auto" w:fill="FFFFFF"/>
        </w:rPr>
        <w:t>by</w:t>
      </w:r>
      <w:r w:rsidR="00447615" w:rsidRPr="009A1C23">
        <w:rPr>
          <w:rFonts w:cstheme="minorHAnsi"/>
          <w:color w:val="000000" w:themeColor="text1"/>
          <w:shd w:val="clear" w:color="auto" w:fill="FFFFFF"/>
        </w:rPr>
        <w:t xml:space="preserve"> smooth</w:t>
      </w:r>
      <w:r w:rsidRPr="009A1C23">
        <w:rPr>
          <w:rFonts w:cstheme="minorHAnsi"/>
          <w:color w:val="000000" w:themeColor="text1"/>
          <w:shd w:val="clear" w:color="auto" w:fill="FFFFFF"/>
        </w:rPr>
        <w:t>ing</w:t>
      </w:r>
      <w:r w:rsidR="00447615" w:rsidRPr="009A1C23">
        <w:rPr>
          <w:rFonts w:cstheme="minorHAnsi"/>
          <w:color w:val="000000" w:themeColor="text1"/>
          <w:shd w:val="clear" w:color="auto" w:fill="FFFFFF"/>
        </w:rPr>
        <w:t xml:space="preserve"> out </w:t>
      </w:r>
      <w:r w:rsidRPr="009A1C23">
        <w:rPr>
          <w:rFonts w:cstheme="minorHAnsi"/>
          <w:color w:val="000000" w:themeColor="text1"/>
          <w:shd w:val="clear" w:color="auto" w:fill="FFFFFF"/>
        </w:rPr>
        <w:t xml:space="preserve">our </w:t>
      </w:r>
      <w:r w:rsidR="00447615" w:rsidRPr="009A1C23">
        <w:rPr>
          <w:rFonts w:cstheme="minorHAnsi"/>
          <w:color w:val="000000" w:themeColor="text1"/>
          <w:shd w:val="clear" w:color="auto" w:fill="FFFFFF"/>
        </w:rPr>
        <w:t>bottom-line performance</w:t>
      </w:r>
      <w:r w:rsidRPr="009A1C23">
        <w:rPr>
          <w:rFonts w:cstheme="minorHAnsi"/>
          <w:color w:val="000000" w:themeColor="text1"/>
          <w:shd w:val="clear" w:color="auto" w:fill="FFFFFF"/>
        </w:rPr>
        <w:t>.</w:t>
      </w:r>
    </w:p>
    <w:p w14:paraId="4363D8CE" w14:textId="7C416E8B" w:rsidR="00AD3F58" w:rsidRPr="009A1C23" w:rsidRDefault="00AD3F58" w:rsidP="009A1C23">
      <w:pPr>
        <w:spacing w:line="276" w:lineRule="auto"/>
        <w:rPr>
          <w:rFonts w:cstheme="minorHAnsi"/>
          <w:b/>
          <w:bCs/>
          <w:color w:val="000000" w:themeColor="text1"/>
          <w:sz w:val="24"/>
          <w:szCs w:val="24"/>
          <w:shd w:val="clear" w:color="auto" w:fill="FFFFFF"/>
        </w:rPr>
      </w:pPr>
      <w:r w:rsidRPr="009A1C23">
        <w:rPr>
          <w:rFonts w:cstheme="minorHAnsi"/>
          <w:b/>
          <w:bCs/>
          <w:color w:val="000000" w:themeColor="text1"/>
          <w:sz w:val="24"/>
          <w:szCs w:val="24"/>
          <w:shd w:val="clear" w:color="auto" w:fill="FFFFFF"/>
        </w:rPr>
        <w:t xml:space="preserve">BENEFITS OF </w:t>
      </w:r>
      <w:r w:rsidR="00E944E2" w:rsidRPr="009A1C23">
        <w:rPr>
          <w:rFonts w:cstheme="minorHAnsi"/>
          <w:b/>
          <w:bCs/>
          <w:color w:val="000000" w:themeColor="text1"/>
          <w:sz w:val="24"/>
          <w:szCs w:val="24"/>
          <w:shd w:val="clear" w:color="auto" w:fill="FFFFFF"/>
        </w:rPr>
        <w:t>COMMODITY HEDGING</w:t>
      </w:r>
    </w:p>
    <w:p w14:paraId="11EE6DF9" w14:textId="77777777" w:rsidR="00E944E2" w:rsidRPr="009A1C23" w:rsidRDefault="00E944E2" w:rsidP="009A1C23">
      <w:pPr>
        <w:pStyle w:val="ListParagraph"/>
        <w:numPr>
          <w:ilvl w:val="0"/>
          <w:numId w:val="2"/>
        </w:numPr>
        <w:spacing w:line="276" w:lineRule="auto"/>
        <w:rPr>
          <w:rFonts w:cstheme="minorHAnsi"/>
          <w:color w:val="000000" w:themeColor="text1"/>
          <w:shd w:val="clear" w:color="auto" w:fill="FFFFFF"/>
        </w:rPr>
      </w:pPr>
      <w:r w:rsidRPr="009A1C23">
        <w:rPr>
          <w:rFonts w:cstheme="minorHAnsi"/>
          <w:color w:val="000000" w:themeColor="text1"/>
          <w:shd w:val="clear" w:color="auto" w:fill="FFFFFF"/>
        </w:rPr>
        <w:t xml:space="preserve">It will help the management to avoid the downside.                                                                                                                </w:t>
      </w:r>
    </w:p>
    <w:p w14:paraId="61FAA90C" w14:textId="4ECFB8B9" w:rsidR="00E944E2" w:rsidRPr="009A1C23" w:rsidRDefault="00E944E2" w:rsidP="009A1C23">
      <w:pPr>
        <w:pStyle w:val="ListParagraph"/>
        <w:numPr>
          <w:ilvl w:val="0"/>
          <w:numId w:val="2"/>
        </w:numPr>
        <w:spacing w:line="276" w:lineRule="auto"/>
        <w:rPr>
          <w:rFonts w:cstheme="minorHAnsi"/>
          <w:color w:val="000000" w:themeColor="text1"/>
          <w:shd w:val="clear" w:color="auto" w:fill="FFFFFF"/>
        </w:rPr>
      </w:pPr>
      <w:r w:rsidRPr="009A1C23">
        <w:rPr>
          <w:rFonts w:cstheme="minorHAnsi"/>
          <w:color w:val="000000" w:themeColor="text1"/>
          <w:shd w:val="clear" w:color="auto" w:fill="FFFFFF"/>
        </w:rPr>
        <w:t>It is one of the ways to lock in the profits.</w:t>
      </w:r>
    </w:p>
    <w:p w14:paraId="5F0E7EB6" w14:textId="442BDE44" w:rsidR="00E944E2" w:rsidRPr="009A1C23" w:rsidRDefault="00E944E2" w:rsidP="009A1C23">
      <w:pPr>
        <w:pStyle w:val="ListParagraph"/>
        <w:numPr>
          <w:ilvl w:val="0"/>
          <w:numId w:val="2"/>
        </w:numPr>
        <w:spacing w:line="276" w:lineRule="auto"/>
        <w:rPr>
          <w:rFonts w:cstheme="minorHAnsi"/>
          <w:color w:val="000000" w:themeColor="text1"/>
          <w:shd w:val="clear" w:color="auto" w:fill="FFFFFF"/>
        </w:rPr>
      </w:pPr>
      <w:r w:rsidRPr="009A1C23">
        <w:rPr>
          <w:rFonts w:cstheme="minorHAnsi"/>
          <w:color w:val="000000" w:themeColor="text1"/>
        </w:rPr>
        <w:t>It will help us save time as our company would not have to adjust on the daily volatility basis.</w:t>
      </w:r>
    </w:p>
    <w:p w14:paraId="024B2EA9" w14:textId="77777777" w:rsidR="00E944E2" w:rsidRPr="009A1C23" w:rsidRDefault="00E944E2" w:rsidP="009A1C23">
      <w:pPr>
        <w:pStyle w:val="ListParagraph"/>
        <w:numPr>
          <w:ilvl w:val="0"/>
          <w:numId w:val="2"/>
        </w:numPr>
        <w:spacing w:line="276" w:lineRule="auto"/>
        <w:rPr>
          <w:rFonts w:cstheme="minorHAnsi"/>
          <w:color w:val="000000" w:themeColor="text1"/>
        </w:rPr>
      </w:pPr>
      <w:r w:rsidRPr="009A1C23">
        <w:rPr>
          <w:rFonts w:cstheme="minorHAnsi"/>
          <w:color w:val="000000" w:themeColor="text1"/>
          <w:shd w:val="clear" w:color="auto" w:fill="FFFFFF"/>
        </w:rPr>
        <w:t>These contracts can benefit commodity buyers and producers by reducing price uncertainty</w:t>
      </w:r>
      <w:r w:rsidRPr="009A1C23">
        <w:rPr>
          <w:rFonts w:cstheme="minorHAnsi"/>
          <w:color w:val="000000" w:themeColor="text1"/>
        </w:rPr>
        <w:t>.</w:t>
      </w:r>
    </w:p>
    <w:p w14:paraId="3B6F2FA4" w14:textId="77777777" w:rsidR="00E944E2" w:rsidRPr="009A1C23" w:rsidRDefault="00E944E2" w:rsidP="009A1C23">
      <w:pPr>
        <w:pStyle w:val="ListParagraph"/>
        <w:numPr>
          <w:ilvl w:val="0"/>
          <w:numId w:val="2"/>
        </w:numPr>
        <w:spacing w:line="276" w:lineRule="auto"/>
        <w:rPr>
          <w:rFonts w:cstheme="minorHAnsi"/>
          <w:color w:val="000000" w:themeColor="text1"/>
        </w:rPr>
      </w:pPr>
      <w:r w:rsidRPr="009A1C23">
        <w:rPr>
          <w:rFonts w:cstheme="minorHAnsi"/>
          <w:color w:val="000000" w:themeColor="text1"/>
          <w:shd w:val="clear" w:color="auto" w:fill="FFFFFF"/>
        </w:rPr>
        <w:t>We can protect ourselves from fluctuations in commodity prices by purchasing a contract that guarantees a specific price for a commodity</w:t>
      </w:r>
      <w:r w:rsidRPr="009A1C23">
        <w:rPr>
          <w:rFonts w:cstheme="minorHAnsi"/>
          <w:color w:val="000000" w:themeColor="text1"/>
        </w:rPr>
        <w:t>.</w:t>
      </w:r>
    </w:p>
    <w:p w14:paraId="5634544B" w14:textId="55CD7EFB" w:rsidR="005A1915" w:rsidRPr="009A1C23" w:rsidRDefault="00E944E2" w:rsidP="009A1C23">
      <w:pPr>
        <w:pStyle w:val="ListParagraph"/>
        <w:numPr>
          <w:ilvl w:val="0"/>
          <w:numId w:val="2"/>
        </w:numPr>
        <w:spacing w:line="276" w:lineRule="auto"/>
        <w:rPr>
          <w:rFonts w:cstheme="minorHAnsi"/>
          <w:color w:val="000000" w:themeColor="text1"/>
        </w:rPr>
      </w:pPr>
      <w:r w:rsidRPr="009A1C23">
        <w:rPr>
          <w:rFonts w:cstheme="minorHAnsi"/>
          <w:color w:val="000000" w:themeColor="text1"/>
          <w:shd w:val="clear" w:color="auto" w:fill="FFFFFF"/>
        </w:rPr>
        <w:t xml:space="preserve">There is some strong evidence that hedging does seem to improve shareholder value, particularly when looked at over a </w:t>
      </w:r>
      <w:r w:rsidR="005A1915" w:rsidRPr="009A1C23">
        <w:rPr>
          <w:rFonts w:cstheme="minorHAnsi"/>
          <w:color w:val="000000" w:themeColor="text1"/>
          <w:shd w:val="clear" w:color="auto" w:fill="FFFFFF"/>
        </w:rPr>
        <w:t>longer-term</w:t>
      </w:r>
      <w:r w:rsidRPr="009A1C23">
        <w:rPr>
          <w:rFonts w:cstheme="minorHAnsi"/>
          <w:color w:val="000000" w:themeColor="text1"/>
          <w:shd w:val="clear" w:color="auto" w:fill="FFFFFF"/>
        </w:rPr>
        <w:t xml:space="preserve"> </w:t>
      </w:r>
      <w:r w:rsidR="005A1915" w:rsidRPr="009A1C23">
        <w:rPr>
          <w:rFonts w:cstheme="minorHAnsi"/>
          <w:color w:val="000000" w:themeColor="text1"/>
          <w:shd w:val="clear" w:color="auto" w:fill="FFFFFF"/>
        </w:rPr>
        <w:t>horizon. The</w:t>
      </w:r>
      <w:r w:rsidRPr="009A1C23">
        <w:rPr>
          <w:rFonts w:cstheme="minorHAnsi"/>
          <w:color w:val="000000" w:themeColor="text1"/>
          <w:shd w:val="clear" w:color="auto" w:fill="FFFFFF"/>
        </w:rPr>
        <w:t xml:space="preserve"> ability to continuously fund business investments unhindered by market volatility can be shown to improve shareholder value.</w:t>
      </w:r>
      <w:r w:rsidR="00726423" w:rsidRPr="009A1C23">
        <w:rPr>
          <w:rFonts w:cstheme="minorHAnsi"/>
          <w:color w:val="000000" w:themeColor="text1"/>
        </w:rPr>
        <w:t xml:space="preserve">          </w:t>
      </w:r>
    </w:p>
    <w:p w14:paraId="0C106EF0" w14:textId="77777777" w:rsidR="005A1915" w:rsidRPr="009A1C23" w:rsidRDefault="00726423" w:rsidP="009A1C23">
      <w:pPr>
        <w:pStyle w:val="ListParagraph"/>
        <w:numPr>
          <w:ilvl w:val="0"/>
          <w:numId w:val="2"/>
        </w:numPr>
        <w:spacing w:line="276" w:lineRule="auto"/>
        <w:rPr>
          <w:rFonts w:cstheme="minorHAnsi"/>
          <w:color w:val="000000" w:themeColor="text1"/>
        </w:rPr>
      </w:pPr>
      <w:r w:rsidRPr="009A1C23">
        <w:rPr>
          <w:rFonts w:cstheme="minorHAnsi"/>
          <w:color w:val="000000" w:themeColor="text1"/>
        </w:rPr>
        <w:t xml:space="preserve"> </w:t>
      </w:r>
      <w:r w:rsidR="005A1915" w:rsidRPr="009A1C23">
        <w:rPr>
          <w:rFonts w:cstheme="minorHAnsi"/>
          <w:color w:val="000000" w:themeColor="text1"/>
        </w:rPr>
        <w:t xml:space="preserve">Managing cash flow is a challenge for almost every company. Business owners as a result stay vigilant in order to keep the business financially viable. Fluctuating commodity prices especially on a significant part of the value chain can cause cash flow fluctuations in the business. One of the advantages of hedging commodity price risk is the ability to minimize cash flow fluctuations attributed by commodity price movements. Hedging insulates the company from such volatile </w:t>
      </w:r>
      <w:r w:rsidR="005A1915" w:rsidRPr="009A1C23">
        <w:rPr>
          <w:rFonts w:cstheme="minorHAnsi"/>
          <w:color w:val="000000" w:themeColor="text1"/>
        </w:rPr>
        <w:lastRenderedPageBreak/>
        <w:t>price movements, and is poised to stabilize cash flow volatility by creating an offsetting impact in case of commodity price fluctuations</w:t>
      </w:r>
      <w:r w:rsidRPr="009A1C23">
        <w:rPr>
          <w:rFonts w:cstheme="minorHAnsi"/>
          <w:color w:val="000000" w:themeColor="text1"/>
        </w:rPr>
        <w:t xml:space="preserve">                    </w:t>
      </w:r>
    </w:p>
    <w:p w14:paraId="0C9132DF" w14:textId="77777777" w:rsidR="009A1C23" w:rsidRPr="009A1C23" w:rsidRDefault="005A1915" w:rsidP="009A1C23">
      <w:pPr>
        <w:pStyle w:val="ListParagraph"/>
        <w:numPr>
          <w:ilvl w:val="0"/>
          <w:numId w:val="2"/>
        </w:numPr>
        <w:spacing w:line="276" w:lineRule="auto"/>
        <w:rPr>
          <w:rFonts w:cstheme="minorHAnsi"/>
          <w:color w:val="000000" w:themeColor="text1"/>
        </w:rPr>
      </w:pPr>
      <w:r w:rsidRPr="009A1C23">
        <w:rPr>
          <w:rFonts w:cstheme="minorHAnsi"/>
          <w:color w:val="000000" w:themeColor="text1"/>
        </w:rPr>
        <w:t xml:space="preserve">Hedging the commodity price risk using exchange traded derivative contracts tends to lower the cost of hedging as compared to undertaking an over-the counter derivative contract for the purpose of hedging. This is largely </w:t>
      </w:r>
      <w:r w:rsidR="009A1C23" w:rsidRPr="009A1C23">
        <w:rPr>
          <w:rFonts w:cstheme="minorHAnsi"/>
          <w:color w:val="000000" w:themeColor="text1"/>
        </w:rPr>
        <w:t>attributing</w:t>
      </w:r>
      <w:r w:rsidRPr="009A1C23">
        <w:rPr>
          <w:rFonts w:cstheme="minorHAnsi"/>
          <w:color w:val="000000" w:themeColor="text1"/>
        </w:rPr>
        <w:t xml:space="preserve"> to lower spreads on the derivative prices when compared to OTC market which do not require any additional negotiation.</w:t>
      </w:r>
      <w:r w:rsidR="00726423" w:rsidRPr="009A1C23">
        <w:rPr>
          <w:rFonts w:cstheme="minorHAnsi"/>
          <w:color w:val="000000" w:themeColor="text1"/>
        </w:rPr>
        <w:t xml:space="preserve">     </w:t>
      </w:r>
    </w:p>
    <w:p w14:paraId="3CDFF471" w14:textId="242D785A" w:rsidR="00E422E0" w:rsidRPr="009A1C23" w:rsidRDefault="009A1C23" w:rsidP="009A1C23">
      <w:pPr>
        <w:spacing w:line="276" w:lineRule="auto"/>
        <w:rPr>
          <w:rFonts w:cstheme="minorHAnsi"/>
          <w:color w:val="000000" w:themeColor="text1"/>
          <w:sz w:val="24"/>
          <w:szCs w:val="24"/>
        </w:rPr>
      </w:pPr>
      <w:r w:rsidRPr="009A1C23">
        <w:rPr>
          <w:rFonts w:cstheme="minorHAnsi"/>
          <w:b/>
          <w:bCs/>
          <w:color w:val="000000" w:themeColor="text1"/>
          <w:sz w:val="24"/>
          <w:szCs w:val="24"/>
        </w:rPr>
        <w:t>THANKYOU.</w:t>
      </w:r>
      <w:r w:rsidR="00726423" w:rsidRPr="009A1C23">
        <w:rPr>
          <w:rFonts w:cstheme="minorHAnsi"/>
          <w:color w:val="000000" w:themeColor="text1"/>
          <w:sz w:val="24"/>
          <w:szCs w:val="24"/>
        </w:rPr>
        <w:t xml:space="preserve">                                                               </w:t>
      </w:r>
    </w:p>
    <w:sectPr w:rsidR="00E422E0" w:rsidRPr="009A1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545B2"/>
    <w:multiLevelType w:val="hybridMultilevel"/>
    <w:tmpl w:val="A5543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33333"/>
    <w:multiLevelType w:val="hybridMultilevel"/>
    <w:tmpl w:val="AD808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DC"/>
    <w:rsid w:val="001B6A62"/>
    <w:rsid w:val="003617A4"/>
    <w:rsid w:val="003776EF"/>
    <w:rsid w:val="004451E0"/>
    <w:rsid w:val="00447615"/>
    <w:rsid w:val="00576208"/>
    <w:rsid w:val="005A1915"/>
    <w:rsid w:val="005A6ADC"/>
    <w:rsid w:val="00726423"/>
    <w:rsid w:val="007E53F9"/>
    <w:rsid w:val="008B7935"/>
    <w:rsid w:val="009A1C23"/>
    <w:rsid w:val="00A17CA7"/>
    <w:rsid w:val="00AD3F58"/>
    <w:rsid w:val="00B46BA5"/>
    <w:rsid w:val="00C8374E"/>
    <w:rsid w:val="00D10346"/>
    <w:rsid w:val="00D21E12"/>
    <w:rsid w:val="00E422E0"/>
    <w:rsid w:val="00E9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5437"/>
  <w15:chartTrackingRefBased/>
  <w15:docId w15:val="{E82B4F1C-87B6-4621-9376-2DCAD91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3F9"/>
    <w:rPr>
      <w:color w:val="0000FF"/>
      <w:u w:val="single"/>
    </w:rPr>
  </w:style>
  <w:style w:type="character" w:styleId="Strong">
    <w:name w:val="Strong"/>
    <w:basedOn w:val="DefaultParagraphFont"/>
    <w:uiPriority w:val="22"/>
    <w:qFormat/>
    <w:rsid w:val="00E422E0"/>
    <w:rPr>
      <w:b/>
      <w:bCs/>
    </w:rPr>
  </w:style>
  <w:style w:type="paragraph" w:styleId="ListParagraph">
    <w:name w:val="List Paragraph"/>
    <w:basedOn w:val="Normal"/>
    <w:uiPriority w:val="34"/>
    <w:qFormat/>
    <w:rsid w:val="00E4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3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34419-F0A7-44CF-9870-16963DAD5F7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5D8DBF04-C346-435E-8CC3-E52053693476}">
      <dgm:prSet phldrT="[Text]"/>
      <dgm:spPr/>
      <dgm:t>
        <a:bodyPr/>
        <a:lstStyle/>
        <a:p>
          <a:r>
            <a:rPr lang="en-US"/>
            <a:t>.</a:t>
          </a:r>
        </a:p>
      </dgm:t>
    </dgm:pt>
    <dgm:pt modelId="{4410A818-AD3E-48E4-8BB4-B5128253607E}" type="parTrans" cxnId="{E307DF13-01DB-43C2-B065-099B5BB58B3F}">
      <dgm:prSet/>
      <dgm:spPr/>
      <dgm:t>
        <a:bodyPr/>
        <a:lstStyle/>
        <a:p>
          <a:endParaRPr lang="en-US"/>
        </a:p>
      </dgm:t>
    </dgm:pt>
    <dgm:pt modelId="{2CB9D47A-5E3C-4489-8F4A-370F13EC8913}" type="sibTrans" cxnId="{E307DF13-01DB-43C2-B065-099B5BB58B3F}">
      <dgm:prSet/>
      <dgm:spPr/>
      <dgm:t>
        <a:bodyPr/>
        <a:lstStyle/>
        <a:p>
          <a:endParaRPr lang="en-US"/>
        </a:p>
      </dgm:t>
    </dgm:pt>
    <dgm:pt modelId="{218656A2-E57C-4C24-8440-FECE18ED2160}">
      <dgm:prSet phldrT="[Text]"/>
      <dgm:spPr/>
      <dgm:t>
        <a:bodyPr/>
        <a:lstStyle/>
        <a:p>
          <a:r>
            <a:rPr lang="en-US"/>
            <a:t>.</a:t>
          </a:r>
        </a:p>
      </dgm:t>
    </dgm:pt>
    <dgm:pt modelId="{3B123F9B-EB19-4D00-A2EB-54B99401D76C}" type="parTrans" cxnId="{13A93A8A-35AD-46A4-9ECF-9B55A94EF34C}">
      <dgm:prSet/>
      <dgm:spPr/>
      <dgm:t>
        <a:bodyPr/>
        <a:lstStyle/>
        <a:p>
          <a:endParaRPr lang="en-US"/>
        </a:p>
      </dgm:t>
    </dgm:pt>
    <dgm:pt modelId="{6066A36B-03F2-47E0-AD26-6E41C09A6093}" type="sibTrans" cxnId="{13A93A8A-35AD-46A4-9ECF-9B55A94EF34C}">
      <dgm:prSet/>
      <dgm:spPr/>
      <dgm:t>
        <a:bodyPr/>
        <a:lstStyle/>
        <a:p>
          <a:endParaRPr lang="en-US"/>
        </a:p>
      </dgm:t>
    </dgm:pt>
    <dgm:pt modelId="{47E75AE5-7DDD-4D6D-877D-CABD14A4EFE3}">
      <dgm:prSet phldrT="[Text]"/>
      <dgm:spPr/>
      <dgm:t>
        <a:bodyPr/>
        <a:lstStyle/>
        <a:p>
          <a:r>
            <a:rPr lang="en-US"/>
            <a:t>Decision support &amp; setting hedge ratios</a:t>
          </a:r>
        </a:p>
      </dgm:t>
    </dgm:pt>
    <dgm:pt modelId="{891A5F1E-1292-495B-BBA8-7C36C63D59FC}" type="parTrans" cxnId="{37729C8C-DA2B-41F2-B399-DA4A2F478EDA}">
      <dgm:prSet/>
      <dgm:spPr/>
      <dgm:t>
        <a:bodyPr/>
        <a:lstStyle/>
        <a:p>
          <a:endParaRPr lang="en-US"/>
        </a:p>
      </dgm:t>
    </dgm:pt>
    <dgm:pt modelId="{33E2FAD4-CDD6-406D-8D90-E14A867E144E}" type="sibTrans" cxnId="{37729C8C-DA2B-41F2-B399-DA4A2F478EDA}">
      <dgm:prSet/>
      <dgm:spPr/>
      <dgm:t>
        <a:bodyPr/>
        <a:lstStyle/>
        <a:p>
          <a:endParaRPr lang="en-US"/>
        </a:p>
      </dgm:t>
    </dgm:pt>
    <dgm:pt modelId="{FD4A52A9-819C-4D27-9CAA-8AB86D52354F}">
      <dgm:prSet phldrT="[Text]"/>
      <dgm:spPr/>
      <dgm:t>
        <a:bodyPr/>
        <a:lstStyle/>
        <a:p>
          <a:r>
            <a:rPr lang="en-US"/>
            <a:t>.</a:t>
          </a:r>
        </a:p>
      </dgm:t>
    </dgm:pt>
    <dgm:pt modelId="{CC84C320-81B9-4B84-84E7-AB98DA34B1F7}" type="parTrans" cxnId="{B276FD9E-B379-4528-B7EC-25C6A926A8F3}">
      <dgm:prSet/>
      <dgm:spPr/>
      <dgm:t>
        <a:bodyPr/>
        <a:lstStyle/>
        <a:p>
          <a:endParaRPr lang="en-US"/>
        </a:p>
      </dgm:t>
    </dgm:pt>
    <dgm:pt modelId="{1C0BBD7B-51DF-4882-9A98-26F3BB13E4E8}" type="sibTrans" cxnId="{B276FD9E-B379-4528-B7EC-25C6A926A8F3}">
      <dgm:prSet/>
      <dgm:spPr/>
      <dgm:t>
        <a:bodyPr/>
        <a:lstStyle/>
        <a:p>
          <a:endParaRPr lang="en-US"/>
        </a:p>
      </dgm:t>
    </dgm:pt>
    <dgm:pt modelId="{902D35CD-7B8C-478F-8DBD-F4BBA1959633}">
      <dgm:prSet phldrT="[Text]"/>
      <dgm:spPr/>
      <dgm:t>
        <a:bodyPr/>
        <a:lstStyle/>
        <a:p>
          <a:r>
            <a:rPr lang="en-US"/>
            <a:t>Price fixing arrangements</a:t>
          </a:r>
        </a:p>
      </dgm:t>
    </dgm:pt>
    <dgm:pt modelId="{0CB71061-A5A3-4AEF-9D8F-62C892AD785F}" type="parTrans" cxnId="{E3DC3E3F-138A-4B6E-8111-D4C78EB8877E}">
      <dgm:prSet/>
      <dgm:spPr/>
      <dgm:t>
        <a:bodyPr/>
        <a:lstStyle/>
        <a:p>
          <a:endParaRPr lang="en-US"/>
        </a:p>
      </dgm:t>
    </dgm:pt>
    <dgm:pt modelId="{3953EE22-5C48-4FDD-8131-FE423D9F1BE8}" type="sibTrans" cxnId="{E3DC3E3F-138A-4B6E-8111-D4C78EB8877E}">
      <dgm:prSet/>
      <dgm:spPr/>
      <dgm:t>
        <a:bodyPr/>
        <a:lstStyle/>
        <a:p>
          <a:endParaRPr lang="en-US"/>
        </a:p>
      </dgm:t>
    </dgm:pt>
    <dgm:pt modelId="{7FC0F59C-CAAD-4ED7-9455-5A9CAC5E5DAD}">
      <dgm:prSet/>
      <dgm:spPr/>
      <dgm:t>
        <a:bodyPr/>
        <a:lstStyle/>
        <a:p>
          <a:r>
            <a:rPr lang="en-US"/>
            <a:t>Exposure collation and aggregation</a:t>
          </a:r>
        </a:p>
      </dgm:t>
    </dgm:pt>
    <dgm:pt modelId="{1BE578A3-DBC7-4AA1-AAB7-E5667F38CAC5}" type="parTrans" cxnId="{8FEA2BF4-943C-469D-9EA6-7120A5DA2630}">
      <dgm:prSet/>
      <dgm:spPr/>
      <dgm:t>
        <a:bodyPr/>
        <a:lstStyle/>
        <a:p>
          <a:endParaRPr lang="en-US"/>
        </a:p>
      </dgm:t>
    </dgm:pt>
    <dgm:pt modelId="{26680A1B-156E-45F8-AED3-983EAE430573}" type="sibTrans" cxnId="{8FEA2BF4-943C-469D-9EA6-7120A5DA2630}">
      <dgm:prSet/>
      <dgm:spPr/>
      <dgm:t>
        <a:bodyPr/>
        <a:lstStyle/>
        <a:p>
          <a:endParaRPr lang="en-US"/>
        </a:p>
      </dgm:t>
    </dgm:pt>
    <dgm:pt modelId="{FC8D9EED-8875-4BE0-9930-272C09CB98BB}">
      <dgm:prSet/>
      <dgm:spPr/>
      <dgm:t>
        <a:bodyPr/>
        <a:lstStyle/>
        <a:p>
          <a:r>
            <a:rPr lang="en-US"/>
            <a:t>Risk quantification and assessment of potential impact</a:t>
          </a:r>
        </a:p>
      </dgm:t>
    </dgm:pt>
    <dgm:pt modelId="{2DA9C529-6ACE-4496-9870-668D5F31D1CF}" type="parTrans" cxnId="{80FC2337-9FD4-4BB1-AC8E-D8C4D509810C}">
      <dgm:prSet/>
      <dgm:spPr/>
      <dgm:t>
        <a:bodyPr/>
        <a:lstStyle/>
        <a:p>
          <a:endParaRPr lang="en-US"/>
        </a:p>
      </dgm:t>
    </dgm:pt>
    <dgm:pt modelId="{9293D7C0-31D9-4E0B-B552-85FA256269C8}" type="sibTrans" cxnId="{80FC2337-9FD4-4BB1-AC8E-D8C4D509810C}">
      <dgm:prSet/>
      <dgm:spPr/>
      <dgm:t>
        <a:bodyPr/>
        <a:lstStyle/>
        <a:p>
          <a:endParaRPr lang="en-US"/>
        </a:p>
      </dgm:t>
    </dgm:pt>
    <dgm:pt modelId="{CFB728EB-CA29-40F6-9803-77A80C56854E}">
      <dgm:prSet phldrT="[Text]"/>
      <dgm:spPr/>
      <dgm:t>
        <a:bodyPr/>
        <a:lstStyle/>
        <a:p>
          <a:r>
            <a:rPr lang="en-US"/>
            <a:t>.</a:t>
          </a:r>
        </a:p>
      </dgm:t>
    </dgm:pt>
    <dgm:pt modelId="{4A62FB1D-995F-4208-BFF6-61ADD0C6F289}" type="sibTrans" cxnId="{B591ADAE-0954-40C4-A829-D842460526E1}">
      <dgm:prSet/>
      <dgm:spPr/>
      <dgm:t>
        <a:bodyPr/>
        <a:lstStyle/>
        <a:p>
          <a:endParaRPr lang="en-US"/>
        </a:p>
      </dgm:t>
    </dgm:pt>
    <dgm:pt modelId="{CC2ABB5C-C23E-4593-AF78-C9414A41322F}" type="parTrans" cxnId="{B591ADAE-0954-40C4-A829-D842460526E1}">
      <dgm:prSet/>
      <dgm:spPr/>
      <dgm:t>
        <a:bodyPr/>
        <a:lstStyle/>
        <a:p>
          <a:endParaRPr lang="en-US"/>
        </a:p>
      </dgm:t>
    </dgm:pt>
    <dgm:pt modelId="{00E08B92-FFF9-40AE-9B4F-AB10F230B7D0}" type="pres">
      <dgm:prSet presAssocID="{33934419-F0A7-44CF-9870-16963DAD5F7D}" presName="linearFlow" presStyleCnt="0">
        <dgm:presLayoutVars>
          <dgm:dir/>
          <dgm:animLvl val="lvl"/>
          <dgm:resizeHandles val="exact"/>
        </dgm:presLayoutVars>
      </dgm:prSet>
      <dgm:spPr/>
    </dgm:pt>
    <dgm:pt modelId="{82B147C2-2A3D-4496-A738-2F13903B3E21}" type="pres">
      <dgm:prSet presAssocID="{5D8DBF04-C346-435E-8CC3-E52053693476}" presName="composite" presStyleCnt="0"/>
      <dgm:spPr/>
    </dgm:pt>
    <dgm:pt modelId="{3B8A777D-FC5E-41B1-8B1A-F29DD14E2FBA}" type="pres">
      <dgm:prSet presAssocID="{5D8DBF04-C346-435E-8CC3-E52053693476}" presName="parentText" presStyleLbl="alignNode1" presStyleIdx="0" presStyleCnt="4">
        <dgm:presLayoutVars>
          <dgm:chMax val="1"/>
          <dgm:bulletEnabled val="1"/>
        </dgm:presLayoutVars>
      </dgm:prSet>
      <dgm:spPr/>
    </dgm:pt>
    <dgm:pt modelId="{A8840A66-4121-452B-88DE-15BD8BB8DB07}" type="pres">
      <dgm:prSet presAssocID="{5D8DBF04-C346-435E-8CC3-E52053693476}" presName="descendantText" presStyleLbl="alignAcc1" presStyleIdx="0" presStyleCnt="4">
        <dgm:presLayoutVars>
          <dgm:bulletEnabled val="1"/>
        </dgm:presLayoutVars>
      </dgm:prSet>
      <dgm:spPr/>
    </dgm:pt>
    <dgm:pt modelId="{11D946E7-638A-465A-B16F-78C5C60A2F2D}" type="pres">
      <dgm:prSet presAssocID="{2CB9D47A-5E3C-4489-8F4A-370F13EC8913}" presName="sp" presStyleCnt="0"/>
      <dgm:spPr/>
    </dgm:pt>
    <dgm:pt modelId="{233F4638-EE95-4EF8-9215-2DABEB7922BA}" type="pres">
      <dgm:prSet presAssocID="{CFB728EB-CA29-40F6-9803-77A80C56854E}" presName="composite" presStyleCnt="0"/>
      <dgm:spPr/>
    </dgm:pt>
    <dgm:pt modelId="{D40A5C64-CDE0-4B73-AD6D-3E9A3D07D2A3}" type="pres">
      <dgm:prSet presAssocID="{CFB728EB-CA29-40F6-9803-77A80C56854E}" presName="parentText" presStyleLbl="alignNode1" presStyleIdx="1" presStyleCnt="4">
        <dgm:presLayoutVars>
          <dgm:chMax val="1"/>
          <dgm:bulletEnabled val="1"/>
        </dgm:presLayoutVars>
      </dgm:prSet>
      <dgm:spPr/>
    </dgm:pt>
    <dgm:pt modelId="{AD906287-9B1E-419D-94E0-23FAE10697E3}" type="pres">
      <dgm:prSet presAssocID="{CFB728EB-CA29-40F6-9803-77A80C56854E}" presName="descendantText" presStyleLbl="alignAcc1" presStyleIdx="1" presStyleCnt="4">
        <dgm:presLayoutVars>
          <dgm:bulletEnabled val="1"/>
        </dgm:presLayoutVars>
      </dgm:prSet>
      <dgm:spPr/>
    </dgm:pt>
    <dgm:pt modelId="{7029D1BF-CB90-4B67-8096-B1727E8AC287}" type="pres">
      <dgm:prSet presAssocID="{4A62FB1D-995F-4208-BFF6-61ADD0C6F289}" presName="sp" presStyleCnt="0"/>
      <dgm:spPr/>
    </dgm:pt>
    <dgm:pt modelId="{C697EABB-4C00-4A90-8041-499FF992AB2E}" type="pres">
      <dgm:prSet presAssocID="{218656A2-E57C-4C24-8440-FECE18ED2160}" presName="composite" presStyleCnt="0"/>
      <dgm:spPr/>
    </dgm:pt>
    <dgm:pt modelId="{9C784E13-C39E-45B6-800D-20E67883A22D}" type="pres">
      <dgm:prSet presAssocID="{218656A2-E57C-4C24-8440-FECE18ED2160}" presName="parentText" presStyleLbl="alignNode1" presStyleIdx="2" presStyleCnt="4">
        <dgm:presLayoutVars>
          <dgm:chMax val="1"/>
          <dgm:bulletEnabled val="1"/>
        </dgm:presLayoutVars>
      </dgm:prSet>
      <dgm:spPr/>
    </dgm:pt>
    <dgm:pt modelId="{6D27D5B4-DC65-4FE8-93E6-D4B3899538AD}" type="pres">
      <dgm:prSet presAssocID="{218656A2-E57C-4C24-8440-FECE18ED2160}" presName="descendantText" presStyleLbl="alignAcc1" presStyleIdx="2" presStyleCnt="4">
        <dgm:presLayoutVars>
          <dgm:bulletEnabled val="1"/>
        </dgm:presLayoutVars>
      </dgm:prSet>
      <dgm:spPr/>
    </dgm:pt>
    <dgm:pt modelId="{CCA04FA9-AF29-45AE-A4E0-B67E93C4F772}" type="pres">
      <dgm:prSet presAssocID="{6066A36B-03F2-47E0-AD26-6E41C09A6093}" presName="sp" presStyleCnt="0"/>
      <dgm:spPr/>
    </dgm:pt>
    <dgm:pt modelId="{36C94B5D-8588-4E59-8841-71C4CDF78084}" type="pres">
      <dgm:prSet presAssocID="{FD4A52A9-819C-4D27-9CAA-8AB86D52354F}" presName="composite" presStyleCnt="0"/>
      <dgm:spPr/>
    </dgm:pt>
    <dgm:pt modelId="{D23045E3-CAFE-45B3-AA68-7EC4977E5A8C}" type="pres">
      <dgm:prSet presAssocID="{FD4A52A9-819C-4D27-9CAA-8AB86D52354F}" presName="parentText" presStyleLbl="alignNode1" presStyleIdx="3" presStyleCnt="4">
        <dgm:presLayoutVars>
          <dgm:chMax val="1"/>
          <dgm:bulletEnabled val="1"/>
        </dgm:presLayoutVars>
      </dgm:prSet>
      <dgm:spPr/>
    </dgm:pt>
    <dgm:pt modelId="{42AB929D-02AC-4560-9A62-E772008CFFC0}" type="pres">
      <dgm:prSet presAssocID="{FD4A52A9-819C-4D27-9CAA-8AB86D52354F}" presName="descendantText" presStyleLbl="alignAcc1" presStyleIdx="3" presStyleCnt="4">
        <dgm:presLayoutVars>
          <dgm:bulletEnabled val="1"/>
        </dgm:presLayoutVars>
      </dgm:prSet>
      <dgm:spPr/>
    </dgm:pt>
  </dgm:ptLst>
  <dgm:cxnLst>
    <dgm:cxn modelId="{7BA32B0C-3E37-4A5E-83B7-9A7A4D18CA62}" type="presOf" srcId="{FC8D9EED-8875-4BE0-9930-272C09CB98BB}" destId="{AD906287-9B1E-419D-94E0-23FAE10697E3}" srcOrd="0" destOrd="0" presId="urn:microsoft.com/office/officeart/2005/8/layout/chevron2"/>
    <dgm:cxn modelId="{E307DF13-01DB-43C2-B065-099B5BB58B3F}" srcId="{33934419-F0A7-44CF-9870-16963DAD5F7D}" destId="{5D8DBF04-C346-435E-8CC3-E52053693476}" srcOrd="0" destOrd="0" parTransId="{4410A818-AD3E-48E4-8BB4-B5128253607E}" sibTransId="{2CB9D47A-5E3C-4489-8F4A-370F13EC8913}"/>
    <dgm:cxn modelId="{1A98BD15-D2FE-4BA4-A9E8-32A04B92323F}" type="presOf" srcId="{7FC0F59C-CAAD-4ED7-9455-5A9CAC5E5DAD}" destId="{A8840A66-4121-452B-88DE-15BD8BB8DB07}" srcOrd="0" destOrd="0" presId="urn:microsoft.com/office/officeart/2005/8/layout/chevron2"/>
    <dgm:cxn modelId="{8B8AC41E-E3D1-46FD-A230-113B61850A43}" type="presOf" srcId="{902D35CD-7B8C-478F-8DBD-F4BBA1959633}" destId="{42AB929D-02AC-4560-9A62-E772008CFFC0}" srcOrd="0" destOrd="0" presId="urn:microsoft.com/office/officeart/2005/8/layout/chevron2"/>
    <dgm:cxn modelId="{A735C42F-3E18-4059-A7D8-5B15F9DF1A12}" type="presOf" srcId="{33934419-F0A7-44CF-9870-16963DAD5F7D}" destId="{00E08B92-FFF9-40AE-9B4F-AB10F230B7D0}" srcOrd="0" destOrd="0" presId="urn:microsoft.com/office/officeart/2005/8/layout/chevron2"/>
    <dgm:cxn modelId="{80FC2337-9FD4-4BB1-AC8E-D8C4D509810C}" srcId="{CFB728EB-CA29-40F6-9803-77A80C56854E}" destId="{FC8D9EED-8875-4BE0-9930-272C09CB98BB}" srcOrd="0" destOrd="0" parTransId="{2DA9C529-6ACE-4496-9870-668D5F31D1CF}" sibTransId="{9293D7C0-31D9-4E0B-B552-85FA256269C8}"/>
    <dgm:cxn modelId="{E3DC3E3F-138A-4B6E-8111-D4C78EB8877E}" srcId="{FD4A52A9-819C-4D27-9CAA-8AB86D52354F}" destId="{902D35CD-7B8C-478F-8DBD-F4BBA1959633}" srcOrd="0" destOrd="0" parTransId="{0CB71061-A5A3-4AEF-9D8F-62C892AD785F}" sibTransId="{3953EE22-5C48-4FDD-8131-FE423D9F1BE8}"/>
    <dgm:cxn modelId="{F6C9B46D-106E-4EFF-84D9-D58726793B0D}" type="presOf" srcId="{FD4A52A9-819C-4D27-9CAA-8AB86D52354F}" destId="{D23045E3-CAFE-45B3-AA68-7EC4977E5A8C}" srcOrd="0" destOrd="0" presId="urn:microsoft.com/office/officeart/2005/8/layout/chevron2"/>
    <dgm:cxn modelId="{13A93A8A-35AD-46A4-9ECF-9B55A94EF34C}" srcId="{33934419-F0A7-44CF-9870-16963DAD5F7D}" destId="{218656A2-E57C-4C24-8440-FECE18ED2160}" srcOrd="2" destOrd="0" parTransId="{3B123F9B-EB19-4D00-A2EB-54B99401D76C}" sibTransId="{6066A36B-03F2-47E0-AD26-6E41C09A6093}"/>
    <dgm:cxn modelId="{37729C8C-DA2B-41F2-B399-DA4A2F478EDA}" srcId="{218656A2-E57C-4C24-8440-FECE18ED2160}" destId="{47E75AE5-7DDD-4D6D-877D-CABD14A4EFE3}" srcOrd="0" destOrd="0" parTransId="{891A5F1E-1292-495B-BBA8-7C36C63D59FC}" sibTransId="{33E2FAD4-CDD6-406D-8D90-E14A867E144E}"/>
    <dgm:cxn modelId="{B276FD9E-B379-4528-B7EC-25C6A926A8F3}" srcId="{33934419-F0A7-44CF-9870-16963DAD5F7D}" destId="{FD4A52A9-819C-4D27-9CAA-8AB86D52354F}" srcOrd="3" destOrd="0" parTransId="{CC84C320-81B9-4B84-84E7-AB98DA34B1F7}" sibTransId="{1C0BBD7B-51DF-4882-9A98-26F3BB13E4E8}"/>
    <dgm:cxn modelId="{966ACEA0-799C-4D8C-AE2B-35375A8A6B72}" type="presOf" srcId="{218656A2-E57C-4C24-8440-FECE18ED2160}" destId="{9C784E13-C39E-45B6-800D-20E67883A22D}" srcOrd="0" destOrd="0" presId="urn:microsoft.com/office/officeart/2005/8/layout/chevron2"/>
    <dgm:cxn modelId="{B591ADAE-0954-40C4-A829-D842460526E1}" srcId="{33934419-F0A7-44CF-9870-16963DAD5F7D}" destId="{CFB728EB-CA29-40F6-9803-77A80C56854E}" srcOrd="1" destOrd="0" parTransId="{CC2ABB5C-C23E-4593-AF78-C9414A41322F}" sibTransId="{4A62FB1D-995F-4208-BFF6-61ADD0C6F289}"/>
    <dgm:cxn modelId="{591E85C0-604E-4B52-B1B5-3DCDEDF30B27}" type="presOf" srcId="{47E75AE5-7DDD-4D6D-877D-CABD14A4EFE3}" destId="{6D27D5B4-DC65-4FE8-93E6-D4B3899538AD}" srcOrd="0" destOrd="0" presId="urn:microsoft.com/office/officeart/2005/8/layout/chevron2"/>
    <dgm:cxn modelId="{5B476CE6-B216-46C2-B150-411090DA5B06}" type="presOf" srcId="{5D8DBF04-C346-435E-8CC3-E52053693476}" destId="{3B8A777D-FC5E-41B1-8B1A-F29DD14E2FBA}" srcOrd="0" destOrd="0" presId="urn:microsoft.com/office/officeart/2005/8/layout/chevron2"/>
    <dgm:cxn modelId="{8FEA2BF4-943C-469D-9EA6-7120A5DA2630}" srcId="{5D8DBF04-C346-435E-8CC3-E52053693476}" destId="{7FC0F59C-CAAD-4ED7-9455-5A9CAC5E5DAD}" srcOrd="0" destOrd="0" parTransId="{1BE578A3-DBC7-4AA1-AAB7-E5667F38CAC5}" sibTransId="{26680A1B-156E-45F8-AED3-983EAE430573}"/>
    <dgm:cxn modelId="{4B7C4DFC-B432-4CA3-B2DB-D30E5AC1220E}" type="presOf" srcId="{CFB728EB-CA29-40F6-9803-77A80C56854E}" destId="{D40A5C64-CDE0-4B73-AD6D-3E9A3D07D2A3}" srcOrd="0" destOrd="0" presId="urn:microsoft.com/office/officeart/2005/8/layout/chevron2"/>
    <dgm:cxn modelId="{12927419-4E12-4FE2-BCED-706A27CC9CC4}" type="presParOf" srcId="{00E08B92-FFF9-40AE-9B4F-AB10F230B7D0}" destId="{82B147C2-2A3D-4496-A738-2F13903B3E21}" srcOrd="0" destOrd="0" presId="urn:microsoft.com/office/officeart/2005/8/layout/chevron2"/>
    <dgm:cxn modelId="{799DC07B-400D-4776-BA6F-6610EA135282}" type="presParOf" srcId="{82B147C2-2A3D-4496-A738-2F13903B3E21}" destId="{3B8A777D-FC5E-41B1-8B1A-F29DD14E2FBA}" srcOrd="0" destOrd="0" presId="urn:microsoft.com/office/officeart/2005/8/layout/chevron2"/>
    <dgm:cxn modelId="{E9462A25-0407-4087-AF73-07912B9E7AD5}" type="presParOf" srcId="{82B147C2-2A3D-4496-A738-2F13903B3E21}" destId="{A8840A66-4121-452B-88DE-15BD8BB8DB07}" srcOrd="1" destOrd="0" presId="urn:microsoft.com/office/officeart/2005/8/layout/chevron2"/>
    <dgm:cxn modelId="{FC1558CD-9DE7-4872-B743-7F72039D8E22}" type="presParOf" srcId="{00E08B92-FFF9-40AE-9B4F-AB10F230B7D0}" destId="{11D946E7-638A-465A-B16F-78C5C60A2F2D}" srcOrd="1" destOrd="0" presId="urn:microsoft.com/office/officeart/2005/8/layout/chevron2"/>
    <dgm:cxn modelId="{C8B6464B-2062-4C93-9B28-499436465F8D}" type="presParOf" srcId="{00E08B92-FFF9-40AE-9B4F-AB10F230B7D0}" destId="{233F4638-EE95-4EF8-9215-2DABEB7922BA}" srcOrd="2" destOrd="0" presId="urn:microsoft.com/office/officeart/2005/8/layout/chevron2"/>
    <dgm:cxn modelId="{97981D20-48FD-428E-B039-7B8E3479E0CA}" type="presParOf" srcId="{233F4638-EE95-4EF8-9215-2DABEB7922BA}" destId="{D40A5C64-CDE0-4B73-AD6D-3E9A3D07D2A3}" srcOrd="0" destOrd="0" presId="urn:microsoft.com/office/officeart/2005/8/layout/chevron2"/>
    <dgm:cxn modelId="{E0E70E8E-9641-4152-85D9-0CC12BB682B5}" type="presParOf" srcId="{233F4638-EE95-4EF8-9215-2DABEB7922BA}" destId="{AD906287-9B1E-419D-94E0-23FAE10697E3}" srcOrd="1" destOrd="0" presId="urn:microsoft.com/office/officeart/2005/8/layout/chevron2"/>
    <dgm:cxn modelId="{193E0A1D-FF38-4778-8120-94173256E1DB}" type="presParOf" srcId="{00E08B92-FFF9-40AE-9B4F-AB10F230B7D0}" destId="{7029D1BF-CB90-4B67-8096-B1727E8AC287}" srcOrd="3" destOrd="0" presId="urn:microsoft.com/office/officeart/2005/8/layout/chevron2"/>
    <dgm:cxn modelId="{9910F316-5BDF-4F56-8361-255756DEDCC0}" type="presParOf" srcId="{00E08B92-FFF9-40AE-9B4F-AB10F230B7D0}" destId="{C697EABB-4C00-4A90-8041-499FF992AB2E}" srcOrd="4" destOrd="0" presId="urn:microsoft.com/office/officeart/2005/8/layout/chevron2"/>
    <dgm:cxn modelId="{500B710C-F2BC-4FD9-AF26-79B721F23DAD}" type="presParOf" srcId="{C697EABB-4C00-4A90-8041-499FF992AB2E}" destId="{9C784E13-C39E-45B6-800D-20E67883A22D}" srcOrd="0" destOrd="0" presId="urn:microsoft.com/office/officeart/2005/8/layout/chevron2"/>
    <dgm:cxn modelId="{4BBAD54D-503E-4F5D-A1D6-78DF32B03871}" type="presParOf" srcId="{C697EABB-4C00-4A90-8041-499FF992AB2E}" destId="{6D27D5B4-DC65-4FE8-93E6-D4B3899538AD}" srcOrd="1" destOrd="0" presId="urn:microsoft.com/office/officeart/2005/8/layout/chevron2"/>
    <dgm:cxn modelId="{C49BBF3F-B232-4380-8E67-D6DE12E88C13}" type="presParOf" srcId="{00E08B92-FFF9-40AE-9B4F-AB10F230B7D0}" destId="{CCA04FA9-AF29-45AE-A4E0-B67E93C4F772}" srcOrd="5" destOrd="0" presId="urn:microsoft.com/office/officeart/2005/8/layout/chevron2"/>
    <dgm:cxn modelId="{CEB32A55-43D2-448B-BD85-A8D72C07D9F5}" type="presParOf" srcId="{00E08B92-FFF9-40AE-9B4F-AB10F230B7D0}" destId="{36C94B5D-8588-4E59-8841-71C4CDF78084}" srcOrd="6" destOrd="0" presId="urn:microsoft.com/office/officeart/2005/8/layout/chevron2"/>
    <dgm:cxn modelId="{A7D49B3F-B038-427D-A062-807DDA824D4E}" type="presParOf" srcId="{36C94B5D-8588-4E59-8841-71C4CDF78084}" destId="{D23045E3-CAFE-45B3-AA68-7EC4977E5A8C}" srcOrd="0" destOrd="0" presId="urn:microsoft.com/office/officeart/2005/8/layout/chevron2"/>
    <dgm:cxn modelId="{6A8F4215-4767-4083-91A8-33274C553F25}" type="presParOf" srcId="{36C94B5D-8588-4E59-8841-71C4CDF78084}" destId="{42AB929D-02AC-4560-9A62-E772008CFFC0}"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34419-F0A7-44CF-9870-16963DAD5F7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5D8DBF04-C346-435E-8CC3-E52053693476}">
      <dgm:prSet phldrT="[Text]"/>
      <dgm:spPr/>
      <dgm:t>
        <a:bodyPr/>
        <a:lstStyle/>
        <a:p>
          <a:r>
            <a:rPr lang="en-US"/>
            <a:t>.</a:t>
          </a:r>
        </a:p>
      </dgm:t>
    </dgm:pt>
    <dgm:pt modelId="{4410A818-AD3E-48E4-8BB4-B5128253607E}" type="parTrans" cxnId="{E307DF13-01DB-43C2-B065-099B5BB58B3F}">
      <dgm:prSet/>
      <dgm:spPr/>
      <dgm:t>
        <a:bodyPr/>
        <a:lstStyle/>
        <a:p>
          <a:endParaRPr lang="en-US"/>
        </a:p>
      </dgm:t>
    </dgm:pt>
    <dgm:pt modelId="{2CB9D47A-5E3C-4489-8F4A-370F13EC8913}" type="sibTrans" cxnId="{E307DF13-01DB-43C2-B065-099B5BB58B3F}">
      <dgm:prSet/>
      <dgm:spPr/>
      <dgm:t>
        <a:bodyPr/>
        <a:lstStyle/>
        <a:p>
          <a:endParaRPr lang="en-US"/>
        </a:p>
      </dgm:t>
    </dgm:pt>
    <dgm:pt modelId="{218656A2-E57C-4C24-8440-FECE18ED2160}">
      <dgm:prSet phldrT="[Text]"/>
      <dgm:spPr/>
      <dgm:t>
        <a:bodyPr/>
        <a:lstStyle/>
        <a:p>
          <a:r>
            <a:rPr lang="en-US"/>
            <a:t>.</a:t>
          </a:r>
        </a:p>
      </dgm:t>
    </dgm:pt>
    <dgm:pt modelId="{3B123F9B-EB19-4D00-A2EB-54B99401D76C}" type="parTrans" cxnId="{13A93A8A-35AD-46A4-9ECF-9B55A94EF34C}">
      <dgm:prSet/>
      <dgm:spPr/>
      <dgm:t>
        <a:bodyPr/>
        <a:lstStyle/>
        <a:p>
          <a:endParaRPr lang="en-US"/>
        </a:p>
      </dgm:t>
    </dgm:pt>
    <dgm:pt modelId="{6066A36B-03F2-47E0-AD26-6E41C09A6093}" type="sibTrans" cxnId="{13A93A8A-35AD-46A4-9ECF-9B55A94EF34C}">
      <dgm:prSet/>
      <dgm:spPr/>
      <dgm:t>
        <a:bodyPr/>
        <a:lstStyle/>
        <a:p>
          <a:endParaRPr lang="en-US"/>
        </a:p>
      </dgm:t>
    </dgm:pt>
    <dgm:pt modelId="{47E75AE5-7DDD-4D6D-877D-CABD14A4EFE3}">
      <dgm:prSet phldrT="[Text]" custT="1"/>
      <dgm:spPr/>
      <dgm:t>
        <a:bodyPr/>
        <a:lstStyle/>
        <a:p>
          <a:r>
            <a:rPr lang="en-US" sz="1000"/>
            <a:t>P/L and MTM computation </a:t>
          </a:r>
        </a:p>
      </dgm:t>
    </dgm:pt>
    <dgm:pt modelId="{891A5F1E-1292-495B-BBA8-7C36C63D59FC}" type="parTrans" cxnId="{37729C8C-DA2B-41F2-B399-DA4A2F478EDA}">
      <dgm:prSet/>
      <dgm:spPr/>
      <dgm:t>
        <a:bodyPr/>
        <a:lstStyle/>
        <a:p>
          <a:endParaRPr lang="en-US"/>
        </a:p>
      </dgm:t>
    </dgm:pt>
    <dgm:pt modelId="{33E2FAD4-CDD6-406D-8D90-E14A867E144E}" type="sibTrans" cxnId="{37729C8C-DA2B-41F2-B399-DA4A2F478EDA}">
      <dgm:prSet/>
      <dgm:spPr/>
      <dgm:t>
        <a:bodyPr/>
        <a:lstStyle/>
        <a:p>
          <a:endParaRPr lang="en-US"/>
        </a:p>
      </dgm:t>
    </dgm:pt>
    <dgm:pt modelId="{FD4A52A9-819C-4D27-9CAA-8AB86D52354F}">
      <dgm:prSet phldrT="[Text]"/>
      <dgm:spPr/>
      <dgm:t>
        <a:bodyPr/>
        <a:lstStyle/>
        <a:p>
          <a:r>
            <a:rPr lang="en-US"/>
            <a:t>.</a:t>
          </a:r>
        </a:p>
      </dgm:t>
    </dgm:pt>
    <dgm:pt modelId="{CC84C320-81B9-4B84-84E7-AB98DA34B1F7}" type="parTrans" cxnId="{B276FD9E-B379-4528-B7EC-25C6A926A8F3}">
      <dgm:prSet/>
      <dgm:spPr/>
      <dgm:t>
        <a:bodyPr/>
        <a:lstStyle/>
        <a:p>
          <a:endParaRPr lang="en-US"/>
        </a:p>
      </dgm:t>
    </dgm:pt>
    <dgm:pt modelId="{1C0BBD7B-51DF-4882-9A98-26F3BB13E4E8}" type="sibTrans" cxnId="{B276FD9E-B379-4528-B7EC-25C6A926A8F3}">
      <dgm:prSet/>
      <dgm:spPr/>
      <dgm:t>
        <a:bodyPr/>
        <a:lstStyle/>
        <a:p>
          <a:endParaRPr lang="en-US"/>
        </a:p>
      </dgm:t>
    </dgm:pt>
    <dgm:pt modelId="{902D35CD-7B8C-478F-8DBD-F4BBA1959633}">
      <dgm:prSet phldrT="[Text]" custT="1"/>
      <dgm:spPr/>
      <dgm:t>
        <a:bodyPr/>
        <a:lstStyle/>
        <a:p>
          <a:r>
            <a:rPr lang="en-US" sz="1000"/>
            <a:t>Hedge performance assessment</a:t>
          </a:r>
        </a:p>
      </dgm:t>
    </dgm:pt>
    <dgm:pt modelId="{0CB71061-A5A3-4AEF-9D8F-62C892AD785F}" type="parTrans" cxnId="{E3DC3E3F-138A-4B6E-8111-D4C78EB8877E}">
      <dgm:prSet/>
      <dgm:spPr/>
      <dgm:t>
        <a:bodyPr/>
        <a:lstStyle/>
        <a:p>
          <a:endParaRPr lang="en-US"/>
        </a:p>
      </dgm:t>
    </dgm:pt>
    <dgm:pt modelId="{3953EE22-5C48-4FDD-8131-FE423D9F1BE8}" type="sibTrans" cxnId="{E3DC3E3F-138A-4B6E-8111-D4C78EB8877E}">
      <dgm:prSet/>
      <dgm:spPr/>
      <dgm:t>
        <a:bodyPr/>
        <a:lstStyle/>
        <a:p>
          <a:endParaRPr lang="en-US"/>
        </a:p>
      </dgm:t>
    </dgm:pt>
    <dgm:pt modelId="{7FC0F59C-CAAD-4ED7-9455-5A9CAC5E5DAD}">
      <dgm:prSet custT="1"/>
      <dgm:spPr/>
      <dgm:t>
        <a:bodyPr/>
        <a:lstStyle/>
        <a:p>
          <a:r>
            <a:rPr lang="en-US" sz="1000"/>
            <a:t>Re-balancing instrument mix</a:t>
          </a:r>
        </a:p>
      </dgm:t>
    </dgm:pt>
    <dgm:pt modelId="{1BE578A3-DBC7-4AA1-AAB7-E5667F38CAC5}" type="parTrans" cxnId="{8FEA2BF4-943C-469D-9EA6-7120A5DA2630}">
      <dgm:prSet/>
      <dgm:spPr/>
      <dgm:t>
        <a:bodyPr/>
        <a:lstStyle/>
        <a:p>
          <a:endParaRPr lang="en-US"/>
        </a:p>
      </dgm:t>
    </dgm:pt>
    <dgm:pt modelId="{26680A1B-156E-45F8-AED3-983EAE430573}" type="sibTrans" cxnId="{8FEA2BF4-943C-469D-9EA6-7120A5DA2630}">
      <dgm:prSet/>
      <dgm:spPr/>
      <dgm:t>
        <a:bodyPr/>
        <a:lstStyle/>
        <a:p>
          <a:endParaRPr lang="en-US"/>
        </a:p>
      </dgm:t>
    </dgm:pt>
    <dgm:pt modelId="{FC8D9EED-8875-4BE0-9930-272C09CB98BB}">
      <dgm:prSet custT="1"/>
      <dgm:spPr/>
      <dgm:t>
        <a:bodyPr/>
        <a:lstStyle/>
        <a:p>
          <a:r>
            <a:rPr lang="en-US" sz="1000"/>
            <a:t>Hedge transaction execution</a:t>
          </a:r>
        </a:p>
      </dgm:t>
    </dgm:pt>
    <dgm:pt modelId="{2DA9C529-6ACE-4496-9870-668D5F31D1CF}" type="parTrans" cxnId="{80FC2337-9FD4-4BB1-AC8E-D8C4D509810C}">
      <dgm:prSet/>
      <dgm:spPr/>
      <dgm:t>
        <a:bodyPr/>
        <a:lstStyle/>
        <a:p>
          <a:endParaRPr lang="en-US"/>
        </a:p>
      </dgm:t>
    </dgm:pt>
    <dgm:pt modelId="{9293D7C0-31D9-4E0B-B552-85FA256269C8}" type="sibTrans" cxnId="{80FC2337-9FD4-4BB1-AC8E-D8C4D509810C}">
      <dgm:prSet/>
      <dgm:spPr/>
      <dgm:t>
        <a:bodyPr/>
        <a:lstStyle/>
        <a:p>
          <a:endParaRPr lang="en-US"/>
        </a:p>
      </dgm:t>
    </dgm:pt>
    <dgm:pt modelId="{CFB728EB-CA29-40F6-9803-77A80C56854E}">
      <dgm:prSet phldrT="[Text]"/>
      <dgm:spPr/>
      <dgm:t>
        <a:bodyPr/>
        <a:lstStyle/>
        <a:p>
          <a:r>
            <a:rPr lang="en-US"/>
            <a:t>.</a:t>
          </a:r>
        </a:p>
      </dgm:t>
    </dgm:pt>
    <dgm:pt modelId="{4A62FB1D-995F-4208-BFF6-61ADD0C6F289}" type="sibTrans" cxnId="{B591ADAE-0954-40C4-A829-D842460526E1}">
      <dgm:prSet/>
      <dgm:spPr/>
      <dgm:t>
        <a:bodyPr/>
        <a:lstStyle/>
        <a:p>
          <a:endParaRPr lang="en-US"/>
        </a:p>
      </dgm:t>
    </dgm:pt>
    <dgm:pt modelId="{CC2ABB5C-C23E-4593-AF78-C9414A41322F}" type="parTrans" cxnId="{B591ADAE-0954-40C4-A829-D842460526E1}">
      <dgm:prSet/>
      <dgm:spPr/>
      <dgm:t>
        <a:bodyPr/>
        <a:lstStyle/>
        <a:p>
          <a:endParaRPr lang="en-US"/>
        </a:p>
      </dgm:t>
    </dgm:pt>
    <dgm:pt modelId="{00E08B92-FFF9-40AE-9B4F-AB10F230B7D0}" type="pres">
      <dgm:prSet presAssocID="{33934419-F0A7-44CF-9870-16963DAD5F7D}" presName="linearFlow" presStyleCnt="0">
        <dgm:presLayoutVars>
          <dgm:dir/>
          <dgm:animLvl val="lvl"/>
          <dgm:resizeHandles val="exact"/>
        </dgm:presLayoutVars>
      </dgm:prSet>
      <dgm:spPr/>
    </dgm:pt>
    <dgm:pt modelId="{82B147C2-2A3D-4496-A738-2F13903B3E21}" type="pres">
      <dgm:prSet presAssocID="{5D8DBF04-C346-435E-8CC3-E52053693476}" presName="composite" presStyleCnt="0"/>
      <dgm:spPr/>
    </dgm:pt>
    <dgm:pt modelId="{3B8A777D-FC5E-41B1-8B1A-F29DD14E2FBA}" type="pres">
      <dgm:prSet presAssocID="{5D8DBF04-C346-435E-8CC3-E52053693476}" presName="parentText" presStyleLbl="alignNode1" presStyleIdx="0" presStyleCnt="4">
        <dgm:presLayoutVars>
          <dgm:chMax val="1"/>
          <dgm:bulletEnabled val="1"/>
        </dgm:presLayoutVars>
      </dgm:prSet>
      <dgm:spPr/>
    </dgm:pt>
    <dgm:pt modelId="{A8840A66-4121-452B-88DE-15BD8BB8DB07}" type="pres">
      <dgm:prSet presAssocID="{5D8DBF04-C346-435E-8CC3-E52053693476}" presName="descendantText" presStyleLbl="alignAcc1" presStyleIdx="0" presStyleCnt="4">
        <dgm:presLayoutVars>
          <dgm:bulletEnabled val="1"/>
        </dgm:presLayoutVars>
      </dgm:prSet>
      <dgm:spPr/>
    </dgm:pt>
    <dgm:pt modelId="{11D946E7-638A-465A-B16F-78C5C60A2F2D}" type="pres">
      <dgm:prSet presAssocID="{2CB9D47A-5E3C-4489-8F4A-370F13EC8913}" presName="sp" presStyleCnt="0"/>
      <dgm:spPr/>
    </dgm:pt>
    <dgm:pt modelId="{233F4638-EE95-4EF8-9215-2DABEB7922BA}" type="pres">
      <dgm:prSet presAssocID="{CFB728EB-CA29-40F6-9803-77A80C56854E}" presName="composite" presStyleCnt="0"/>
      <dgm:spPr/>
    </dgm:pt>
    <dgm:pt modelId="{D40A5C64-CDE0-4B73-AD6D-3E9A3D07D2A3}" type="pres">
      <dgm:prSet presAssocID="{CFB728EB-CA29-40F6-9803-77A80C56854E}" presName="parentText" presStyleLbl="alignNode1" presStyleIdx="1" presStyleCnt="4">
        <dgm:presLayoutVars>
          <dgm:chMax val="1"/>
          <dgm:bulletEnabled val="1"/>
        </dgm:presLayoutVars>
      </dgm:prSet>
      <dgm:spPr/>
    </dgm:pt>
    <dgm:pt modelId="{AD906287-9B1E-419D-94E0-23FAE10697E3}" type="pres">
      <dgm:prSet presAssocID="{CFB728EB-CA29-40F6-9803-77A80C56854E}" presName="descendantText" presStyleLbl="alignAcc1" presStyleIdx="1" presStyleCnt="4">
        <dgm:presLayoutVars>
          <dgm:bulletEnabled val="1"/>
        </dgm:presLayoutVars>
      </dgm:prSet>
      <dgm:spPr/>
    </dgm:pt>
    <dgm:pt modelId="{7029D1BF-CB90-4B67-8096-B1727E8AC287}" type="pres">
      <dgm:prSet presAssocID="{4A62FB1D-995F-4208-BFF6-61ADD0C6F289}" presName="sp" presStyleCnt="0"/>
      <dgm:spPr/>
    </dgm:pt>
    <dgm:pt modelId="{C697EABB-4C00-4A90-8041-499FF992AB2E}" type="pres">
      <dgm:prSet presAssocID="{218656A2-E57C-4C24-8440-FECE18ED2160}" presName="composite" presStyleCnt="0"/>
      <dgm:spPr/>
    </dgm:pt>
    <dgm:pt modelId="{9C784E13-C39E-45B6-800D-20E67883A22D}" type="pres">
      <dgm:prSet presAssocID="{218656A2-E57C-4C24-8440-FECE18ED2160}" presName="parentText" presStyleLbl="alignNode1" presStyleIdx="2" presStyleCnt="4">
        <dgm:presLayoutVars>
          <dgm:chMax val="1"/>
          <dgm:bulletEnabled val="1"/>
        </dgm:presLayoutVars>
      </dgm:prSet>
      <dgm:spPr/>
    </dgm:pt>
    <dgm:pt modelId="{6D27D5B4-DC65-4FE8-93E6-D4B3899538AD}" type="pres">
      <dgm:prSet presAssocID="{218656A2-E57C-4C24-8440-FECE18ED2160}" presName="descendantText" presStyleLbl="alignAcc1" presStyleIdx="2" presStyleCnt="4">
        <dgm:presLayoutVars>
          <dgm:bulletEnabled val="1"/>
        </dgm:presLayoutVars>
      </dgm:prSet>
      <dgm:spPr/>
    </dgm:pt>
    <dgm:pt modelId="{CCA04FA9-AF29-45AE-A4E0-B67E93C4F772}" type="pres">
      <dgm:prSet presAssocID="{6066A36B-03F2-47E0-AD26-6E41C09A6093}" presName="sp" presStyleCnt="0"/>
      <dgm:spPr/>
    </dgm:pt>
    <dgm:pt modelId="{36C94B5D-8588-4E59-8841-71C4CDF78084}" type="pres">
      <dgm:prSet presAssocID="{FD4A52A9-819C-4D27-9CAA-8AB86D52354F}" presName="composite" presStyleCnt="0"/>
      <dgm:spPr/>
    </dgm:pt>
    <dgm:pt modelId="{D23045E3-CAFE-45B3-AA68-7EC4977E5A8C}" type="pres">
      <dgm:prSet presAssocID="{FD4A52A9-819C-4D27-9CAA-8AB86D52354F}" presName="parentText" presStyleLbl="alignNode1" presStyleIdx="3" presStyleCnt="4">
        <dgm:presLayoutVars>
          <dgm:chMax val="1"/>
          <dgm:bulletEnabled val="1"/>
        </dgm:presLayoutVars>
      </dgm:prSet>
      <dgm:spPr/>
    </dgm:pt>
    <dgm:pt modelId="{42AB929D-02AC-4560-9A62-E772008CFFC0}" type="pres">
      <dgm:prSet presAssocID="{FD4A52A9-819C-4D27-9CAA-8AB86D52354F}" presName="descendantText" presStyleLbl="alignAcc1" presStyleIdx="3" presStyleCnt="4">
        <dgm:presLayoutVars>
          <dgm:bulletEnabled val="1"/>
        </dgm:presLayoutVars>
      </dgm:prSet>
      <dgm:spPr/>
    </dgm:pt>
  </dgm:ptLst>
  <dgm:cxnLst>
    <dgm:cxn modelId="{7BA32B0C-3E37-4A5E-83B7-9A7A4D18CA62}" type="presOf" srcId="{FC8D9EED-8875-4BE0-9930-272C09CB98BB}" destId="{AD906287-9B1E-419D-94E0-23FAE10697E3}" srcOrd="0" destOrd="0" presId="urn:microsoft.com/office/officeart/2005/8/layout/chevron2"/>
    <dgm:cxn modelId="{E307DF13-01DB-43C2-B065-099B5BB58B3F}" srcId="{33934419-F0A7-44CF-9870-16963DAD5F7D}" destId="{5D8DBF04-C346-435E-8CC3-E52053693476}" srcOrd="0" destOrd="0" parTransId="{4410A818-AD3E-48E4-8BB4-B5128253607E}" sibTransId="{2CB9D47A-5E3C-4489-8F4A-370F13EC8913}"/>
    <dgm:cxn modelId="{1A98BD15-D2FE-4BA4-A9E8-32A04B92323F}" type="presOf" srcId="{7FC0F59C-CAAD-4ED7-9455-5A9CAC5E5DAD}" destId="{A8840A66-4121-452B-88DE-15BD8BB8DB07}" srcOrd="0" destOrd="0" presId="urn:microsoft.com/office/officeart/2005/8/layout/chevron2"/>
    <dgm:cxn modelId="{8B8AC41E-E3D1-46FD-A230-113B61850A43}" type="presOf" srcId="{902D35CD-7B8C-478F-8DBD-F4BBA1959633}" destId="{42AB929D-02AC-4560-9A62-E772008CFFC0}" srcOrd="0" destOrd="0" presId="urn:microsoft.com/office/officeart/2005/8/layout/chevron2"/>
    <dgm:cxn modelId="{A735C42F-3E18-4059-A7D8-5B15F9DF1A12}" type="presOf" srcId="{33934419-F0A7-44CF-9870-16963DAD5F7D}" destId="{00E08B92-FFF9-40AE-9B4F-AB10F230B7D0}" srcOrd="0" destOrd="0" presId="urn:microsoft.com/office/officeart/2005/8/layout/chevron2"/>
    <dgm:cxn modelId="{80FC2337-9FD4-4BB1-AC8E-D8C4D509810C}" srcId="{CFB728EB-CA29-40F6-9803-77A80C56854E}" destId="{FC8D9EED-8875-4BE0-9930-272C09CB98BB}" srcOrd="0" destOrd="0" parTransId="{2DA9C529-6ACE-4496-9870-668D5F31D1CF}" sibTransId="{9293D7C0-31D9-4E0B-B552-85FA256269C8}"/>
    <dgm:cxn modelId="{E3DC3E3F-138A-4B6E-8111-D4C78EB8877E}" srcId="{FD4A52A9-819C-4D27-9CAA-8AB86D52354F}" destId="{902D35CD-7B8C-478F-8DBD-F4BBA1959633}" srcOrd="0" destOrd="0" parTransId="{0CB71061-A5A3-4AEF-9D8F-62C892AD785F}" sibTransId="{3953EE22-5C48-4FDD-8131-FE423D9F1BE8}"/>
    <dgm:cxn modelId="{F6C9B46D-106E-4EFF-84D9-D58726793B0D}" type="presOf" srcId="{FD4A52A9-819C-4D27-9CAA-8AB86D52354F}" destId="{D23045E3-CAFE-45B3-AA68-7EC4977E5A8C}" srcOrd="0" destOrd="0" presId="urn:microsoft.com/office/officeart/2005/8/layout/chevron2"/>
    <dgm:cxn modelId="{13A93A8A-35AD-46A4-9ECF-9B55A94EF34C}" srcId="{33934419-F0A7-44CF-9870-16963DAD5F7D}" destId="{218656A2-E57C-4C24-8440-FECE18ED2160}" srcOrd="2" destOrd="0" parTransId="{3B123F9B-EB19-4D00-A2EB-54B99401D76C}" sibTransId="{6066A36B-03F2-47E0-AD26-6E41C09A6093}"/>
    <dgm:cxn modelId="{37729C8C-DA2B-41F2-B399-DA4A2F478EDA}" srcId="{218656A2-E57C-4C24-8440-FECE18ED2160}" destId="{47E75AE5-7DDD-4D6D-877D-CABD14A4EFE3}" srcOrd="0" destOrd="0" parTransId="{891A5F1E-1292-495B-BBA8-7C36C63D59FC}" sibTransId="{33E2FAD4-CDD6-406D-8D90-E14A867E144E}"/>
    <dgm:cxn modelId="{B276FD9E-B379-4528-B7EC-25C6A926A8F3}" srcId="{33934419-F0A7-44CF-9870-16963DAD5F7D}" destId="{FD4A52A9-819C-4D27-9CAA-8AB86D52354F}" srcOrd="3" destOrd="0" parTransId="{CC84C320-81B9-4B84-84E7-AB98DA34B1F7}" sibTransId="{1C0BBD7B-51DF-4882-9A98-26F3BB13E4E8}"/>
    <dgm:cxn modelId="{966ACEA0-799C-4D8C-AE2B-35375A8A6B72}" type="presOf" srcId="{218656A2-E57C-4C24-8440-FECE18ED2160}" destId="{9C784E13-C39E-45B6-800D-20E67883A22D}" srcOrd="0" destOrd="0" presId="urn:microsoft.com/office/officeart/2005/8/layout/chevron2"/>
    <dgm:cxn modelId="{B591ADAE-0954-40C4-A829-D842460526E1}" srcId="{33934419-F0A7-44CF-9870-16963DAD5F7D}" destId="{CFB728EB-CA29-40F6-9803-77A80C56854E}" srcOrd="1" destOrd="0" parTransId="{CC2ABB5C-C23E-4593-AF78-C9414A41322F}" sibTransId="{4A62FB1D-995F-4208-BFF6-61ADD0C6F289}"/>
    <dgm:cxn modelId="{591E85C0-604E-4B52-B1B5-3DCDEDF30B27}" type="presOf" srcId="{47E75AE5-7DDD-4D6D-877D-CABD14A4EFE3}" destId="{6D27D5B4-DC65-4FE8-93E6-D4B3899538AD}" srcOrd="0" destOrd="0" presId="urn:microsoft.com/office/officeart/2005/8/layout/chevron2"/>
    <dgm:cxn modelId="{5B476CE6-B216-46C2-B150-411090DA5B06}" type="presOf" srcId="{5D8DBF04-C346-435E-8CC3-E52053693476}" destId="{3B8A777D-FC5E-41B1-8B1A-F29DD14E2FBA}" srcOrd="0" destOrd="0" presId="urn:microsoft.com/office/officeart/2005/8/layout/chevron2"/>
    <dgm:cxn modelId="{8FEA2BF4-943C-469D-9EA6-7120A5DA2630}" srcId="{5D8DBF04-C346-435E-8CC3-E52053693476}" destId="{7FC0F59C-CAAD-4ED7-9455-5A9CAC5E5DAD}" srcOrd="0" destOrd="0" parTransId="{1BE578A3-DBC7-4AA1-AAB7-E5667F38CAC5}" sibTransId="{26680A1B-156E-45F8-AED3-983EAE430573}"/>
    <dgm:cxn modelId="{4B7C4DFC-B432-4CA3-B2DB-D30E5AC1220E}" type="presOf" srcId="{CFB728EB-CA29-40F6-9803-77A80C56854E}" destId="{D40A5C64-CDE0-4B73-AD6D-3E9A3D07D2A3}" srcOrd="0" destOrd="0" presId="urn:microsoft.com/office/officeart/2005/8/layout/chevron2"/>
    <dgm:cxn modelId="{12927419-4E12-4FE2-BCED-706A27CC9CC4}" type="presParOf" srcId="{00E08B92-FFF9-40AE-9B4F-AB10F230B7D0}" destId="{82B147C2-2A3D-4496-A738-2F13903B3E21}" srcOrd="0" destOrd="0" presId="urn:microsoft.com/office/officeart/2005/8/layout/chevron2"/>
    <dgm:cxn modelId="{799DC07B-400D-4776-BA6F-6610EA135282}" type="presParOf" srcId="{82B147C2-2A3D-4496-A738-2F13903B3E21}" destId="{3B8A777D-FC5E-41B1-8B1A-F29DD14E2FBA}" srcOrd="0" destOrd="0" presId="urn:microsoft.com/office/officeart/2005/8/layout/chevron2"/>
    <dgm:cxn modelId="{E9462A25-0407-4087-AF73-07912B9E7AD5}" type="presParOf" srcId="{82B147C2-2A3D-4496-A738-2F13903B3E21}" destId="{A8840A66-4121-452B-88DE-15BD8BB8DB07}" srcOrd="1" destOrd="0" presId="urn:microsoft.com/office/officeart/2005/8/layout/chevron2"/>
    <dgm:cxn modelId="{FC1558CD-9DE7-4872-B743-7F72039D8E22}" type="presParOf" srcId="{00E08B92-FFF9-40AE-9B4F-AB10F230B7D0}" destId="{11D946E7-638A-465A-B16F-78C5C60A2F2D}" srcOrd="1" destOrd="0" presId="urn:microsoft.com/office/officeart/2005/8/layout/chevron2"/>
    <dgm:cxn modelId="{C8B6464B-2062-4C93-9B28-499436465F8D}" type="presParOf" srcId="{00E08B92-FFF9-40AE-9B4F-AB10F230B7D0}" destId="{233F4638-EE95-4EF8-9215-2DABEB7922BA}" srcOrd="2" destOrd="0" presId="urn:microsoft.com/office/officeart/2005/8/layout/chevron2"/>
    <dgm:cxn modelId="{97981D20-48FD-428E-B039-7B8E3479E0CA}" type="presParOf" srcId="{233F4638-EE95-4EF8-9215-2DABEB7922BA}" destId="{D40A5C64-CDE0-4B73-AD6D-3E9A3D07D2A3}" srcOrd="0" destOrd="0" presId="urn:microsoft.com/office/officeart/2005/8/layout/chevron2"/>
    <dgm:cxn modelId="{E0E70E8E-9641-4152-85D9-0CC12BB682B5}" type="presParOf" srcId="{233F4638-EE95-4EF8-9215-2DABEB7922BA}" destId="{AD906287-9B1E-419D-94E0-23FAE10697E3}" srcOrd="1" destOrd="0" presId="urn:microsoft.com/office/officeart/2005/8/layout/chevron2"/>
    <dgm:cxn modelId="{193E0A1D-FF38-4778-8120-94173256E1DB}" type="presParOf" srcId="{00E08B92-FFF9-40AE-9B4F-AB10F230B7D0}" destId="{7029D1BF-CB90-4B67-8096-B1727E8AC287}" srcOrd="3" destOrd="0" presId="urn:microsoft.com/office/officeart/2005/8/layout/chevron2"/>
    <dgm:cxn modelId="{9910F316-5BDF-4F56-8361-255756DEDCC0}" type="presParOf" srcId="{00E08B92-FFF9-40AE-9B4F-AB10F230B7D0}" destId="{C697EABB-4C00-4A90-8041-499FF992AB2E}" srcOrd="4" destOrd="0" presId="urn:microsoft.com/office/officeart/2005/8/layout/chevron2"/>
    <dgm:cxn modelId="{500B710C-F2BC-4FD9-AF26-79B721F23DAD}" type="presParOf" srcId="{C697EABB-4C00-4A90-8041-499FF992AB2E}" destId="{9C784E13-C39E-45B6-800D-20E67883A22D}" srcOrd="0" destOrd="0" presId="urn:microsoft.com/office/officeart/2005/8/layout/chevron2"/>
    <dgm:cxn modelId="{4BBAD54D-503E-4F5D-A1D6-78DF32B03871}" type="presParOf" srcId="{C697EABB-4C00-4A90-8041-499FF992AB2E}" destId="{6D27D5B4-DC65-4FE8-93E6-D4B3899538AD}" srcOrd="1" destOrd="0" presId="urn:microsoft.com/office/officeart/2005/8/layout/chevron2"/>
    <dgm:cxn modelId="{C49BBF3F-B232-4380-8E67-D6DE12E88C13}" type="presParOf" srcId="{00E08B92-FFF9-40AE-9B4F-AB10F230B7D0}" destId="{CCA04FA9-AF29-45AE-A4E0-B67E93C4F772}" srcOrd="5" destOrd="0" presId="urn:microsoft.com/office/officeart/2005/8/layout/chevron2"/>
    <dgm:cxn modelId="{CEB32A55-43D2-448B-BD85-A8D72C07D9F5}" type="presParOf" srcId="{00E08B92-FFF9-40AE-9B4F-AB10F230B7D0}" destId="{36C94B5D-8588-4E59-8841-71C4CDF78084}" srcOrd="6" destOrd="0" presId="urn:microsoft.com/office/officeart/2005/8/layout/chevron2"/>
    <dgm:cxn modelId="{A7D49B3F-B038-427D-A062-807DDA824D4E}" type="presParOf" srcId="{36C94B5D-8588-4E59-8841-71C4CDF78084}" destId="{D23045E3-CAFE-45B3-AA68-7EC4977E5A8C}" srcOrd="0" destOrd="0" presId="urn:microsoft.com/office/officeart/2005/8/layout/chevron2"/>
    <dgm:cxn modelId="{6A8F4215-4767-4083-91A8-33274C553F25}" type="presParOf" srcId="{36C94B5D-8588-4E59-8841-71C4CDF78084}" destId="{42AB929D-02AC-4560-9A62-E772008CFFC0}"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A777D-FC5E-41B1-8B1A-F29DD14E2FBA}">
      <dsp:nvSpPr>
        <dsp:cNvPr id="0" name=""/>
        <dsp:cNvSpPr/>
      </dsp:nvSpPr>
      <dsp:spPr>
        <a:xfrm rot="5400000">
          <a:off x="-81431" y="82812"/>
          <a:ext cx="542873" cy="38001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91387"/>
        <a:ext cx="380011" cy="162862"/>
      </dsp:txXfrm>
    </dsp:sp>
    <dsp:sp modelId="{A8840A66-4121-452B-88DE-15BD8BB8DB07}">
      <dsp:nvSpPr>
        <dsp:cNvPr id="0" name=""/>
        <dsp:cNvSpPr/>
      </dsp:nvSpPr>
      <dsp:spPr>
        <a:xfrm rot="5400000">
          <a:off x="1204196" y="-822803"/>
          <a:ext cx="352867" cy="20012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Exposure collation and aggregation</a:t>
          </a:r>
        </a:p>
      </dsp:txBody>
      <dsp:txXfrm rot="-5400000">
        <a:off x="380011" y="18608"/>
        <a:ext cx="1984012" cy="318415"/>
      </dsp:txXfrm>
    </dsp:sp>
    <dsp:sp modelId="{D40A5C64-CDE0-4B73-AD6D-3E9A3D07D2A3}">
      <dsp:nvSpPr>
        <dsp:cNvPr id="0" name=""/>
        <dsp:cNvSpPr/>
      </dsp:nvSpPr>
      <dsp:spPr>
        <a:xfrm rot="5400000">
          <a:off x="-81431" y="545458"/>
          <a:ext cx="542873" cy="38001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654033"/>
        <a:ext cx="380011" cy="162862"/>
      </dsp:txXfrm>
    </dsp:sp>
    <dsp:sp modelId="{AD906287-9B1E-419D-94E0-23FAE10697E3}">
      <dsp:nvSpPr>
        <dsp:cNvPr id="0" name=""/>
        <dsp:cNvSpPr/>
      </dsp:nvSpPr>
      <dsp:spPr>
        <a:xfrm rot="5400000">
          <a:off x="1204196" y="-360157"/>
          <a:ext cx="352867" cy="20012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Risk quantification and assessment of potential impact</a:t>
          </a:r>
        </a:p>
      </dsp:txBody>
      <dsp:txXfrm rot="-5400000">
        <a:off x="380011" y="481254"/>
        <a:ext cx="1984012" cy="318415"/>
      </dsp:txXfrm>
    </dsp:sp>
    <dsp:sp modelId="{9C784E13-C39E-45B6-800D-20E67883A22D}">
      <dsp:nvSpPr>
        <dsp:cNvPr id="0" name=""/>
        <dsp:cNvSpPr/>
      </dsp:nvSpPr>
      <dsp:spPr>
        <a:xfrm rot="5400000">
          <a:off x="-81431" y="1008104"/>
          <a:ext cx="542873" cy="38001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116679"/>
        <a:ext cx="380011" cy="162862"/>
      </dsp:txXfrm>
    </dsp:sp>
    <dsp:sp modelId="{6D27D5B4-DC65-4FE8-93E6-D4B3899538AD}">
      <dsp:nvSpPr>
        <dsp:cNvPr id="0" name=""/>
        <dsp:cNvSpPr/>
      </dsp:nvSpPr>
      <dsp:spPr>
        <a:xfrm rot="5400000">
          <a:off x="1204196" y="102488"/>
          <a:ext cx="352867" cy="20012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Decision support &amp; setting hedge ratios</a:t>
          </a:r>
        </a:p>
      </dsp:txBody>
      <dsp:txXfrm rot="-5400000">
        <a:off x="380011" y="943899"/>
        <a:ext cx="1984012" cy="318415"/>
      </dsp:txXfrm>
    </dsp:sp>
    <dsp:sp modelId="{D23045E3-CAFE-45B3-AA68-7EC4977E5A8C}">
      <dsp:nvSpPr>
        <dsp:cNvPr id="0" name=""/>
        <dsp:cNvSpPr/>
      </dsp:nvSpPr>
      <dsp:spPr>
        <a:xfrm rot="5400000">
          <a:off x="-81431" y="1470750"/>
          <a:ext cx="542873" cy="38001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579325"/>
        <a:ext cx="380011" cy="162862"/>
      </dsp:txXfrm>
    </dsp:sp>
    <dsp:sp modelId="{42AB929D-02AC-4560-9A62-E772008CFFC0}">
      <dsp:nvSpPr>
        <dsp:cNvPr id="0" name=""/>
        <dsp:cNvSpPr/>
      </dsp:nvSpPr>
      <dsp:spPr>
        <a:xfrm rot="5400000">
          <a:off x="1204196" y="565134"/>
          <a:ext cx="352867" cy="200123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Price fixing arrangements</a:t>
          </a:r>
        </a:p>
      </dsp:txBody>
      <dsp:txXfrm rot="-5400000">
        <a:off x="380011" y="1406545"/>
        <a:ext cx="1984012" cy="3184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A777D-FC5E-41B1-8B1A-F29DD14E2FBA}">
      <dsp:nvSpPr>
        <dsp:cNvPr id="0" name=""/>
        <dsp:cNvSpPr/>
      </dsp:nvSpPr>
      <dsp:spPr>
        <a:xfrm rot="5400000">
          <a:off x="-80646" y="80767"/>
          <a:ext cx="537641" cy="3763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88296"/>
        <a:ext cx="376349" cy="161292"/>
      </dsp:txXfrm>
    </dsp:sp>
    <dsp:sp modelId="{A8840A66-4121-452B-88DE-15BD8BB8DB07}">
      <dsp:nvSpPr>
        <dsp:cNvPr id="0" name=""/>
        <dsp:cNvSpPr/>
      </dsp:nvSpPr>
      <dsp:spPr>
        <a:xfrm rot="5400000">
          <a:off x="1223116" y="-846645"/>
          <a:ext cx="349467" cy="2043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Re-balancing instrument mix</a:t>
          </a:r>
        </a:p>
      </dsp:txBody>
      <dsp:txXfrm rot="-5400000">
        <a:off x="376350" y="17181"/>
        <a:ext cx="2025940" cy="315347"/>
      </dsp:txXfrm>
    </dsp:sp>
    <dsp:sp modelId="{D40A5C64-CDE0-4B73-AD6D-3E9A3D07D2A3}">
      <dsp:nvSpPr>
        <dsp:cNvPr id="0" name=""/>
        <dsp:cNvSpPr/>
      </dsp:nvSpPr>
      <dsp:spPr>
        <a:xfrm rot="5400000">
          <a:off x="-80646" y="536472"/>
          <a:ext cx="537641" cy="3763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644001"/>
        <a:ext cx="376349" cy="161292"/>
      </dsp:txXfrm>
    </dsp:sp>
    <dsp:sp modelId="{AD906287-9B1E-419D-94E0-23FAE10697E3}">
      <dsp:nvSpPr>
        <dsp:cNvPr id="0" name=""/>
        <dsp:cNvSpPr/>
      </dsp:nvSpPr>
      <dsp:spPr>
        <a:xfrm rot="5400000">
          <a:off x="1223116" y="-390940"/>
          <a:ext cx="349467" cy="2043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Hedge transaction execution</a:t>
          </a:r>
        </a:p>
      </dsp:txBody>
      <dsp:txXfrm rot="-5400000">
        <a:off x="376350" y="472886"/>
        <a:ext cx="2025940" cy="315347"/>
      </dsp:txXfrm>
    </dsp:sp>
    <dsp:sp modelId="{9C784E13-C39E-45B6-800D-20E67883A22D}">
      <dsp:nvSpPr>
        <dsp:cNvPr id="0" name=""/>
        <dsp:cNvSpPr/>
      </dsp:nvSpPr>
      <dsp:spPr>
        <a:xfrm rot="5400000">
          <a:off x="-80646" y="992177"/>
          <a:ext cx="537641" cy="3763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099706"/>
        <a:ext cx="376349" cy="161292"/>
      </dsp:txXfrm>
    </dsp:sp>
    <dsp:sp modelId="{6D27D5B4-DC65-4FE8-93E6-D4B3899538AD}">
      <dsp:nvSpPr>
        <dsp:cNvPr id="0" name=""/>
        <dsp:cNvSpPr/>
      </dsp:nvSpPr>
      <dsp:spPr>
        <a:xfrm rot="5400000">
          <a:off x="1223116" y="64764"/>
          <a:ext cx="349467" cy="2043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P/L and MTM computation </a:t>
          </a:r>
        </a:p>
      </dsp:txBody>
      <dsp:txXfrm rot="-5400000">
        <a:off x="376350" y="928590"/>
        <a:ext cx="2025940" cy="315347"/>
      </dsp:txXfrm>
    </dsp:sp>
    <dsp:sp modelId="{D23045E3-CAFE-45B3-AA68-7EC4977E5A8C}">
      <dsp:nvSpPr>
        <dsp:cNvPr id="0" name=""/>
        <dsp:cNvSpPr/>
      </dsp:nvSpPr>
      <dsp:spPr>
        <a:xfrm rot="5400000">
          <a:off x="-80646" y="1447882"/>
          <a:ext cx="537641" cy="3763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rot="-5400000">
        <a:off x="1" y="1555411"/>
        <a:ext cx="376349" cy="161292"/>
      </dsp:txXfrm>
    </dsp:sp>
    <dsp:sp modelId="{42AB929D-02AC-4560-9A62-E772008CFFC0}">
      <dsp:nvSpPr>
        <dsp:cNvPr id="0" name=""/>
        <dsp:cNvSpPr/>
      </dsp:nvSpPr>
      <dsp:spPr>
        <a:xfrm rot="5400000">
          <a:off x="1223116" y="520469"/>
          <a:ext cx="349467" cy="2043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Hedge performance assessment</a:t>
          </a:r>
        </a:p>
      </dsp:txBody>
      <dsp:txXfrm rot="-5400000">
        <a:off x="376350" y="1384295"/>
        <a:ext cx="2025940" cy="3153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5</cp:revision>
  <dcterms:created xsi:type="dcterms:W3CDTF">2021-10-29T14:17:00Z</dcterms:created>
  <dcterms:modified xsi:type="dcterms:W3CDTF">2021-10-29T17:58:00Z</dcterms:modified>
</cp:coreProperties>
</file>