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1CADE4" w:themeColor="accent1"/>
          <w:sz w:val="24"/>
          <w:szCs w:val="24"/>
          <w:lang w:val="en-IN"/>
        </w:rPr>
        <w:id w:val="156424944"/>
        <w:docPartObj>
          <w:docPartGallery w:val="Cover Pages"/>
          <w:docPartUnique/>
        </w:docPartObj>
      </w:sdtPr>
      <w:sdtEndPr>
        <w:rPr>
          <w:color w:val="595959" w:themeColor="text1" w:themeTint="A6"/>
        </w:rPr>
      </w:sdtEndPr>
      <w:sdtContent>
        <w:p w14:paraId="36807302" w14:textId="0CD28E49" w:rsidR="00AA74A4" w:rsidRPr="00A36B22" w:rsidRDefault="00AA74A4">
          <w:pPr>
            <w:pStyle w:val="NoSpacing"/>
            <w:spacing w:before="1540" w:after="240"/>
            <w:jc w:val="center"/>
            <w:rPr>
              <w:color w:val="1CADE4" w:themeColor="accent1"/>
              <w:sz w:val="24"/>
              <w:szCs w:val="24"/>
            </w:rPr>
          </w:pPr>
          <w:r w:rsidRPr="00A36B22">
            <w:rPr>
              <w:noProof/>
              <w:color w:val="1CADE4" w:themeColor="accent1"/>
              <w:sz w:val="24"/>
              <w:szCs w:val="24"/>
            </w:rPr>
            <w:drawing>
              <wp:inline distT="0" distB="0" distL="0" distR="0" wp14:anchorId="49B0902B" wp14:editId="1597A4C1">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ajorEastAsia" w:cstheme="majorBidi"/>
              <w:caps/>
              <w:color w:val="1CADE4" w:themeColor="accent1"/>
              <w:sz w:val="24"/>
              <w:szCs w:val="24"/>
            </w:rPr>
            <w:alias w:val="Title"/>
            <w:tag w:val=""/>
            <w:id w:val="1735040861"/>
            <w:placeholder>
              <w:docPart w:val="EA50337F95F44840AFBC48F465E674F9"/>
            </w:placeholder>
            <w:dataBinding w:prefixMappings="xmlns:ns0='http://purl.org/dc/elements/1.1/' xmlns:ns1='http://schemas.openxmlformats.org/package/2006/metadata/core-properties' " w:xpath="/ns1:coreProperties[1]/ns0:title[1]" w:storeItemID="{6C3C8BC8-F283-45AE-878A-BAB7291924A1}"/>
            <w:text/>
          </w:sdtPr>
          <w:sdtEndPr/>
          <w:sdtContent>
            <w:p w14:paraId="78C8DF1A" w14:textId="3987E090" w:rsidR="00AA74A4" w:rsidRPr="00A36B22" w:rsidRDefault="00AA74A4">
              <w:pPr>
                <w:pStyle w:val="NoSpacing"/>
                <w:pBdr>
                  <w:top w:val="single" w:sz="6" w:space="6" w:color="1CADE4" w:themeColor="accent1"/>
                  <w:bottom w:val="single" w:sz="6" w:space="6" w:color="1CADE4" w:themeColor="accent1"/>
                </w:pBdr>
                <w:spacing w:after="240"/>
                <w:jc w:val="center"/>
                <w:rPr>
                  <w:rFonts w:eastAsiaTheme="majorEastAsia" w:cstheme="majorBidi"/>
                  <w:caps/>
                  <w:color w:val="1CADE4" w:themeColor="accent1"/>
                  <w:sz w:val="24"/>
                  <w:szCs w:val="24"/>
                </w:rPr>
              </w:pPr>
              <w:r w:rsidRPr="00A36B22">
                <w:rPr>
                  <w:rFonts w:eastAsiaTheme="majorEastAsia" w:cstheme="majorBidi"/>
                  <w:caps/>
                  <w:color w:val="1CADE4" w:themeColor="accent1"/>
                  <w:sz w:val="24"/>
                  <w:szCs w:val="24"/>
                </w:rPr>
                <w:t xml:space="preserve">Life </w:t>
              </w:r>
              <w:r w:rsidR="00FA4837" w:rsidRPr="00A36B22">
                <w:rPr>
                  <w:rFonts w:eastAsiaTheme="majorEastAsia" w:cstheme="majorBidi"/>
                  <w:caps/>
                  <w:color w:val="1CADE4" w:themeColor="accent1"/>
                  <w:sz w:val="24"/>
                  <w:szCs w:val="24"/>
                </w:rPr>
                <w:t>INSURANCE ASSIGNMENT-2</w:t>
              </w:r>
            </w:p>
          </w:sdtContent>
        </w:sdt>
        <w:p w14:paraId="74144BE5" w14:textId="56136FC0" w:rsidR="00AA74A4" w:rsidRPr="00A36B22" w:rsidRDefault="00AA74A4">
          <w:pPr>
            <w:pStyle w:val="NoSpacing"/>
            <w:spacing w:before="480"/>
            <w:jc w:val="center"/>
            <w:rPr>
              <w:color w:val="1CADE4" w:themeColor="accent1"/>
              <w:sz w:val="24"/>
              <w:szCs w:val="24"/>
            </w:rPr>
          </w:pPr>
          <w:r w:rsidRPr="00A36B22">
            <w:rPr>
              <w:noProof/>
              <w:color w:val="1CADE4" w:themeColor="accent1"/>
              <w:sz w:val="24"/>
              <w:szCs w:val="24"/>
            </w:rPr>
            <w:drawing>
              <wp:inline distT="0" distB="0" distL="0" distR="0" wp14:anchorId="76D04E1F" wp14:editId="780A8E1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B6D205F" w14:textId="77777777" w:rsidR="00AB58E9" w:rsidRPr="00A36B22" w:rsidRDefault="00AA74A4">
          <w:pPr>
            <w:rPr>
              <w:color w:val="595959" w:themeColor="text1" w:themeTint="A6"/>
              <w:sz w:val="24"/>
              <w:szCs w:val="24"/>
            </w:rPr>
          </w:pPr>
          <w:r w:rsidRPr="00A36B22">
            <w:rPr>
              <w:noProof/>
              <w:color w:val="1CADE4" w:themeColor="accent1"/>
              <w:sz w:val="24"/>
              <w:szCs w:val="24"/>
            </w:rPr>
            <mc:AlternateContent>
              <mc:Choice Requires="wps">
                <w:drawing>
                  <wp:anchor distT="0" distB="0" distL="114300" distR="114300" simplePos="0" relativeHeight="251659264" behindDoc="0" locked="0" layoutInCell="1" allowOverlap="1" wp14:anchorId="75983F80" wp14:editId="7C87AC13">
                    <wp:simplePos x="0" y="0"/>
                    <wp:positionH relativeFrom="margin">
                      <wp:align>right</wp:align>
                    </wp:positionH>
                    <wp:positionV relativeFrom="margin">
                      <wp:posOffset>8174181</wp:posOffset>
                    </wp:positionV>
                    <wp:extent cx="6553200" cy="789709"/>
                    <wp:effectExtent l="0" t="0" r="2540" b="10795"/>
                    <wp:wrapNone/>
                    <wp:docPr id="142" name="Text Box 142"/>
                    <wp:cNvGraphicFramePr/>
                    <a:graphic xmlns:a="http://schemas.openxmlformats.org/drawingml/2006/main">
                      <a:graphicData uri="http://schemas.microsoft.com/office/word/2010/wordprocessingShape">
                        <wps:wsp>
                          <wps:cNvSpPr txBox="1"/>
                          <wps:spPr>
                            <a:xfrm>
                              <a:off x="0" y="0"/>
                              <a:ext cx="6553200" cy="7897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CADE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1-21T00:00:00Z">
                                    <w:dateFormat w:val="MMMM d, yyyy"/>
                                    <w:lid w:val="en-US"/>
                                    <w:storeMappedDataAs w:val="dateTime"/>
                                    <w:calendar w:val="gregorian"/>
                                  </w:date>
                                </w:sdtPr>
                                <w:sdtEndPr/>
                                <w:sdtContent>
                                  <w:p w14:paraId="54D059DC" w14:textId="2E56AB31" w:rsidR="00AA74A4" w:rsidRDefault="00FA4837">
                                    <w:pPr>
                                      <w:pStyle w:val="NoSpacing"/>
                                      <w:spacing w:after="40"/>
                                      <w:jc w:val="center"/>
                                      <w:rPr>
                                        <w:caps/>
                                        <w:color w:val="1CADE4" w:themeColor="accent1"/>
                                        <w:sz w:val="28"/>
                                        <w:szCs w:val="28"/>
                                      </w:rPr>
                                    </w:pPr>
                                    <w:r>
                                      <w:rPr>
                                        <w:caps/>
                                        <w:color w:val="1CADE4" w:themeColor="accent1"/>
                                        <w:sz w:val="28"/>
                                        <w:szCs w:val="28"/>
                                      </w:rPr>
                                      <w:t>January 21, 2022</w:t>
                                    </w:r>
                                  </w:p>
                                </w:sdtContent>
                              </w:sdt>
                              <w:p w14:paraId="58141E85" w14:textId="52EFC989" w:rsidR="00AA74A4" w:rsidRDefault="009731C0">
                                <w:pPr>
                                  <w:pStyle w:val="NoSpacing"/>
                                  <w:jc w:val="center"/>
                                  <w:rPr>
                                    <w:color w:val="1CADE4" w:themeColor="accent1"/>
                                  </w:rPr>
                                </w:pPr>
                                <w:sdt>
                                  <w:sdtPr>
                                    <w:rPr>
                                      <w:caps/>
                                      <w:color w:val="1CADE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AA74A4">
                                      <w:rPr>
                                        <w:caps/>
                                        <w:color w:val="1CADE4" w:themeColor="accent1"/>
                                      </w:rPr>
                                      <w:t>jainam JAIN (ROLL NO.31)</w:t>
                                    </w:r>
                                  </w:sdtContent>
                                </w:sdt>
                              </w:p>
                              <w:p w14:paraId="16E3A6BE" w14:textId="0B684882" w:rsidR="00AA74A4" w:rsidRDefault="009731C0">
                                <w:pPr>
                                  <w:pStyle w:val="NoSpacing"/>
                                  <w:jc w:val="center"/>
                                  <w:rPr>
                                    <w:color w:val="1CADE4" w:themeColor="accent1"/>
                                  </w:rPr>
                                </w:pPr>
                                <w:sdt>
                                  <w:sdtPr>
                                    <w:rPr>
                                      <w:color w:val="1CADE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AA74A4">
                                      <w:rPr>
                                        <w:color w:val="1CADE4" w:themeColor="accent1"/>
                                      </w:rPr>
                                      <w:t xml:space="preserve">FIRST YEAR </w:t>
                                    </w:r>
                                  </w:sdtContent>
                                </w:sdt>
                              </w:p>
                              <w:p w14:paraId="3AB26BC2" w14:textId="3915AC20" w:rsidR="00AA74A4" w:rsidRDefault="00AA74A4">
                                <w:pPr>
                                  <w:pStyle w:val="NoSpacing"/>
                                  <w:jc w:val="center"/>
                                  <w:rPr>
                                    <w:color w:val="1CADE4" w:themeColor="accent1"/>
                                  </w:rPr>
                                </w:pPr>
                                <w:r>
                                  <w:rPr>
                                    <w:color w:val="1CADE4" w:themeColor="accent1"/>
                                  </w:rPr>
                                  <w:t>SECTION-A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5983F80" id="_x0000_t202" coordsize="21600,21600" o:spt="202" path="m,l,21600r21600,l21600,xe">
                    <v:stroke joinstyle="miter"/>
                    <v:path gradientshapeok="t" o:connecttype="rect"/>
                  </v:shapetype>
                  <v:shape id="Text Box 142" o:spid="_x0000_s1026" type="#_x0000_t202" style="position:absolute;margin-left:464.8pt;margin-top:643.65pt;width:516pt;height:62.2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" filled="f" stroked="f" strokeweight=".5pt">
                    <v:textbox inset="0,0,0,0">
                      <w:txbxContent>
                        <w:sdt>
                          <w:sdtPr>
                            <w:rPr>
                              <w:caps/>
                              <w:color w:val="1CADE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2-01-21T00:00:00Z">
                              <w:dateFormat w:val="MMMM d, yyyy"/>
                              <w:lid w:val="en-US"/>
                              <w:storeMappedDataAs w:val="dateTime"/>
                              <w:calendar w:val="gregorian"/>
                            </w:date>
                          </w:sdtPr>
                          <w:sdtEndPr/>
                          <w:sdtContent>
                            <w:p w14:paraId="54D059DC" w14:textId="2E56AB31" w:rsidR="00AA74A4" w:rsidRDefault="00FA4837">
                              <w:pPr>
                                <w:pStyle w:val="NoSpacing"/>
                                <w:spacing w:after="40"/>
                                <w:jc w:val="center"/>
                                <w:rPr>
                                  <w:caps/>
                                  <w:color w:val="1CADE4" w:themeColor="accent1"/>
                                  <w:sz w:val="28"/>
                                  <w:szCs w:val="28"/>
                                </w:rPr>
                              </w:pPr>
                              <w:r>
                                <w:rPr>
                                  <w:caps/>
                                  <w:color w:val="1CADE4" w:themeColor="accent1"/>
                                  <w:sz w:val="28"/>
                                  <w:szCs w:val="28"/>
                                </w:rPr>
                                <w:t>January 21, 2022</w:t>
                              </w:r>
                            </w:p>
                          </w:sdtContent>
                        </w:sdt>
                        <w:p w14:paraId="58141E85" w14:textId="52EFC989" w:rsidR="00AA74A4" w:rsidRDefault="009731C0">
                          <w:pPr>
                            <w:pStyle w:val="NoSpacing"/>
                            <w:jc w:val="center"/>
                            <w:rPr>
                              <w:color w:val="1CADE4" w:themeColor="accent1"/>
                            </w:rPr>
                          </w:pPr>
                          <w:sdt>
                            <w:sdtPr>
                              <w:rPr>
                                <w:caps/>
                                <w:color w:val="1CADE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AA74A4">
                                <w:rPr>
                                  <w:caps/>
                                  <w:color w:val="1CADE4" w:themeColor="accent1"/>
                                </w:rPr>
                                <w:t>jainam JAIN (ROLL NO.31)</w:t>
                              </w:r>
                            </w:sdtContent>
                          </w:sdt>
                        </w:p>
                        <w:p w14:paraId="16E3A6BE" w14:textId="0B684882" w:rsidR="00AA74A4" w:rsidRDefault="009731C0">
                          <w:pPr>
                            <w:pStyle w:val="NoSpacing"/>
                            <w:jc w:val="center"/>
                            <w:rPr>
                              <w:color w:val="1CADE4" w:themeColor="accent1"/>
                            </w:rPr>
                          </w:pPr>
                          <w:sdt>
                            <w:sdtPr>
                              <w:rPr>
                                <w:color w:val="1CADE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AA74A4">
                                <w:rPr>
                                  <w:color w:val="1CADE4" w:themeColor="accent1"/>
                                </w:rPr>
                                <w:t xml:space="preserve">FIRST YEAR </w:t>
                              </w:r>
                            </w:sdtContent>
                          </w:sdt>
                        </w:p>
                        <w:p w14:paraId="3AB26BC2" w14:textId="3915AC20" w:rsidR="00AA74A4" w:rsidRDefault="00AA74A4">
                          <w:pPr>
                            <w:pStyle w:val="NoSpacing"/>
                            <w:jc w:val="center"/>
                            <w:rPr>
                              <w:color w:val="1CADE4" w:themeColor="accent1"/>
                            </w:rPr>
                          </w:pPr>
                          <w:r>
                            <w:rPr>
                              <w:color w:val="1CADE4" w:themeColor="accent1"/>
                            </w:rPr>
                            <w:t>SECTION-A</w:t>
                          </w:r>
                        </w:p>
                      </w:txbxContent>
                    </v:textbox>
                    <w10:wrap anchorx="margin" anchory="margin"/>
                  </v:shape>
                </w:pict>
              </mc:Fallback>
            </mc:AlternateContent>
          </w:r>
        </w:p>
        <w:p w14:paraId="24A593CC" w14:textId="77777777" w:rsidR="00AB58E9" w:rsidRPr="00A36B22" w:rsidRDefault="00AB58E9">
          <w:pPr>
            <w:rPr>
              <w:color w:val="595959" w:themeColor="text1" w:themeTint="A6"/>
              <w:sz w:val="24"/>
              <w:szCs w:val="24"/>
            </w:rPr>
          </w:pPr>
          <w:r w:rsidRPr="00A36B22">
            <w:rPr>
              <w:color w:val="595959" w:themeColor="text1" w:themeTint="A6"/>
              <w:sz w:val="24"/>
              <w:szCs w:val="24"/>
            </w:rPr>
            <w:br w:type="page"/>
          </w:r>
        </w:p>
        <w:p w14:paraId="565A6A13" w14:textId="77777777" w:rsidR="002D1C5F" w:rsidRDefault="00AB58E9">
          <w:pPr>
            <w:rPr>
              <w:b/>
              <w:bCs/>
              <w:color w:val="595959" w:themeColor="text1" w:themeTint="A6"/>
              <w:sz w:val="24"/>
              <w:szCs w:val="24"/>
            </w:rPr>
          </w:pPr>
          <w:r w:rsidRPr="002D1C5F">
            <w:rPr>
              <w:b/>
              <w:bCs/>
              <w:color w:val="595959" w:themeColor="text1" w:themeTint="A6"/>
              <w:sz w:val="24"/>
              <w:szCs w:val="24"/>
            </w:rPr>
            <w:lastRenderedPageBreak/>
            <w:t>Ans-1</w:t>
          </w:r>
        </w:p>
        <w:p w14:paraId="2C1BB422" w14:textId="286A4B7C" w:rsidR="00934842" w:rsidRPr="00A36B22" w:rsidRDefault="00AB58E9">
          <w:pPr>
            <w:rPr>
              <w:color w:val="595959" w:themeColor="text1" w:themeTint="A6"/>
              <w:sz w:val="24"/>
              <w:szCs w:val="24"/>
            </w:rPr>
          </w:pPr>
          <w:r w:rsidRPr="00A36B22">
            <w:rPr>
              <w:color w:val="595959" w:themeColor="text1" w:themeTint="A6"/>
              <w:sz w:val="24"/>
              <w:szCs w:val="24"/>
            </w:rPr>
            <w:t xml:space="preserve"> </w:t>
          </w:r>
          <w:r w:rsidR="00934842" w:rsidRPr="00A36B22">
            <w:rPr>
              <w:color w:val="595959" w:themeColor="text1" w:themeTint="A6"/>
              <w:sz w:val="24"/>
              <w:szCs w:val="24"/>
            </w:rPr>
            <w:t>List of various distribution channels that can be used to sell products in the market:</w:t>
          </w:r>
        </w:p>
      </w:sdtContent>
    </w:sdt>
    <w:p w14:paraId="5BFAE1B9" w14:textId="2608B788" w:rsidR="00AB58E9" w:rsidRPr="00A36B22" w:rsidRDefault="00934842" w:rsidP="00027444">
      <w:pPr>
        <w:pStyle w:val="ListParagraph"/>
        <w:numPr>
          <w:ilvl w:val="0"/>
          <w:numId w:val="3"/>
        </w:numPr>
        <w:rPr>
          <w:color w:val="595959" w:themeColor="text1" w:themeTint="A6"/>
          <w:sz w:val="24"/>
          <w:szCs w:val="24"/>
        </w:rPr>
      </w:pPr>
      <w:r w:rsidRPr="00A36B22">
        <w:rPr>
          <w:color w:val="595959" w:themeColor="text1" w:themeTint="A6"/>
          <w:sz w:val="24"/>
          <w:szCs w:val="24"/>
        </w:rPr>
        <w:t>Marketing intermediaries</w:t>
      </w:r>
      <w:r w:rsidR="00027444" w:rsidRPr="00A36B22">
        <w:rPr>
          <w:color w:val="595959" w:themeColor="text1" w:themeTint="A6"/>
          <w:sz w:val="24"/>
          <w:szCs w:val="24"/>
        </w:rPr>
        <w:t xml:space="preserve"> (Agency Building distribution and Non</w:t>
      </w:r>
      <w:r w:rsidR="00027444" w:rsidRPr="00A36B22">
        <w:rPr>
          <w:sz w:val="24"/>
          <w:szCs w:val="24"/>
        </w:rPr>
        <w:t>-</w:t>
      </w:r>
      <w:r w:rsidR="00027444" w:rsidRPr="00A36B22">
        <w:rPr>
          <w:color w:val="595959" w:themeColor="text1" w:themeTint="A6"/>
          <w:sz w:val="24"/>
          <w:szCs w:val="24"/>
        </w:rPr>
        <w:t>Agency Building distribution)</w:t>
      </w:r>
    </w:p>
    <w:p w14:paraId="7C99826D" w14:textId="05ABEDDF" w:rsidR="00934842" w:rsidRPr="00A36B22" w:rsidRDefault="00934842" w:rsidP="00027444">
      <w:pPr>
        <w:pStyle w:val="ListParagraph"/>
        <w:numPr>
          <w:ilvl w:val="0"/>
          <w:numId w:val="3"/>
        </w:numPr>
        <w:rPr>
          <w:color w:val="595959" w:themeColor="text1" w:themeTint="A6"/>
          <w:sz w:val="24"/>
          <w:szCs w:val="24"/>
        </w:rPr>
      </w:pPr>
      <w:r w:rsidRPr="00A36B22">
        <w:rPr>
          <w:color w:val="595959" w:themeColor="text1" w:themeTint="A6"/>
          <w:sz w:val="24"/>
          <w:szCs w:val="24"/>
        </w:rPr>
        <w:t>Direct response</w:t>
      </w:r>
    </w:p>
    <w:p w14:paraId="2FD148DF" w14:textId="21F95F3D" w:rsidR="00934842" w:rsidRPr="00A36B22" w:rsidRDefault="00934842" w:rsidP="00027444">
      <w:pPr>
        <w:pStyle w:val="ListParagraph"/>
        <w:numPr>
          <w:ilvl w:val="0"/>
          <w:numId w:val="3"/>
        </w:numPr>
        <w:rPr>
          <w:color w:val="595959" w:themeColor="text1" w:themeTint="A6"/>
          <w:sz w:val="24"/>
          <w:szCs w:val="24"/>
        </w:rPr>
      </w:pPr>
      <w:r w:rsidRPr="00A36B22">
        <w:rPr>
          <w:color w:val="595959" w:themeColor="text1" w:themeTint="A6"/>
          <w:sz w:val="24"/>
          <w:szCs w:val="24"/>
        </w:rPr>
        <w:t>Financial institutions</w:t>
      </w:r>
      <w:r w:rsidR="00027444" w:rsidRPr="00A36B22">
        <w:rPr>
          <w:color w:val="595959" w:themeColor="text1" w:themeTint="A6"/>
          <w:sz w:val="24"/>
          <w:szCs w:val="24"/>
        </w:rPr>
        <w:t xml:space="preserve"> (Deposit taking institutions, Investment banks, etc)</w:t>
      </w:r>
    </w:p>
    <w:p w14:paraId="2ACFBCE6" w14:textId="77777777" w:rsidR="00724574" w:rsidRPr="00A36B22" w:rsidRDefault="00724574">
      <w:pPr>
        <w:rPr>
          <w:color w:val="595959" w:themeColor="text1" w:themeTint="A6"/>
          <w:sz w:val="24"/>
          <w:szCs w:val="24"/>
        </w:rPr>
      </w:pPr>
    </w:p>
    <w:p w14:paraId="72C19B3A" w14:textId="77777777" w:rsidR="002D1C5F" w:rsidRDefault="00724574">
      <w:pPr>
        <w:rPr>
          <w:b/>
          <w:bCs/>
          <w:color w:val="595959" w:themeColor="text1" w:themeTint="A6"/>
          <w:sz w:val="24"/>
          <w:szCs w:val="24"/>
        </w:rPr>
      </w:pPr>
      <w:r w:rsidRPr="002D1C5F">
        <w:rPr>
          <w:b/>
          <w:bCs/>
          <w:color w:val="595959" w:themeColor="text1" w:themeTint="A6"/>
          <w:sz w:val="24"/>
          <w:szCs w:val="24"/>
        </w:rPr>
        <w:t>Ans-2</w:t>
      </w:r>
    </w:p>
    <w:p w14:paraId="576EC205" w14:textId="469C3C49" w:rsidR="00934842" w:rsidRPr="00A36B22" w:rsidRDefault="00724574">
      <w:pPr>
        <w:rPr>
          <w:color w:val="595959" w:themeColor="text1" w:themeTint="A6"/>
          <w:sz w:val="24"/>
          <w:szCs w:val="24"/>
        </w:rPr>
      </w:pPr>
      <w:r w:rsidRPr="00A36B22">
        <w:rPr>
          <w:color w:val="595959" w:themeColor="text1" w:themeTint="A6"/>
          <w:sz w:val="24"/>
          <w:szCs w:val="24"/>
        </w:rPr>
        <w:t xml:space="preserve"> </w:t>
      </w:r>
      <w:r w:rsidR="00D90408" w:rsidRPr="00A36B22">
        <w:rPr>
          <w:color w:val="595959" w:themeColor="text1" w:themeTint="A6"/>
          <w:sz w:val="24"/>
          <w:szCs w:val="24"/>
        </w:rPr>
        <w:t>Causes of lapsation:</w:t>
      </w:r>
    </w:p>
    <w:p w14:paraId="1BBDD9FE" w14:textId="77777777" w:rsidR="00D90408" w:rsidRPr="00A36B22" w:rsidRDefault="00D90408" w:rsidP="00D90408">
      <w:pPr>
        <w:pStyle w:val="ListParagraph"/>
        <w:numPr>
          <w:ilvl w:val="0"/>
          <w:numId w:val="4"/>
        </w:numPr>
        <w:rPr>
          <w:color w:val="595959" w:themeColor="text1" w:themeTint="A6"/>
          <w:sz w:val="24"/>
          <w:szCs w:val="24"/>
        </w:rPr>
      </w:pPr>
      <w:r w:rsidRPr="00A36B22">
        <w:rPr>
          <w:color w:val="595959" w:themeColor="text1" w:themeTint="A6"/>
          <w:sz w:val="24"/>
          <w:szCs w:val="24"/>
        </w:rPr>
        <w:t>Economic-social background</w:t>
      </w:r>
    </w:p>
    <w:p w14:paraId="1F5889CD" w14:textId="77777777" w:rsidR="00D90408" w:rsidRPr="00A36B22" w:rsidRDefault="00D90408" w:rsidP="00D90408">
      <w:pPr>
        <w:pStyle w:val="ListParagraph"/>
        <w:numPr>
          <w:ilvl w:val="0"/>
          <w:numId w:val="4"/>
        </w:numPr>
        <w:rPr>
          <w:color w:val="595959" w:themeColor="text1" w:themeTint="A6"/>
          <w:sz w:val="24"/>
          <w:szCs w:val="24"/>
        </w:rPr>
      </w:pPr>
      <w:r w:rsidRPr="00A36B22">
        <w:rPr>
          <w:color w:val="595959" w:themeColor="text1" w:themeTint="A6"/>
          <w:sz w:val="24"/>
          <w:szCs w:val="24"/>
        </w:rPr>
        <w:t>Financial difficulties</w:t>
      </w:r>
    </w:p>
    <w:p w14:paraId="6273FA02" w14:textId="05977B0E" w:rsidR="00D90408" w:rsidRPr="00A36B22" w:rsidRDefault="00D90408" w:rsidP="00D90408">
      <w:pPr>
        <w:pStyle w:val="ListParagraph"/>
        <w:numPr>
          <w:ilvl w:val="0"/>
          <w:numId w:val="4"/>
        </w:numPr>
        <w:rPr>
          <w:color w:val="595959" w:themeColor="text1" w:themeTint="A6"/>
          <w:sz w:val="24"/>
          <w:szCs w:val="24"/>
        </w:rPr>
      </w:pPr>
      <w:r w:rsidRPr="00A36B22">
        <w:rPr>
          <w:color w:val="595959" w:themeColor="text1" w:themeTint="A6"/>
          <w:sz w:val="24"/>
          <w:szCs w:val="24"/>
        </w:rPr>
        <w:t>Government policies with regard to taxation</w:t>
      </w:r>
    </w:p>
    <w:p w14:paraId="6C248784" w14:textId="77777777" w:rsidR="00D90408" w:rsidRPr="00A36B22" w:rsidRDefault="00D90408" w:rsidP="00D90408">
      <w:pPr>
        <w:pStyle w:val="ListParagraph"/>
        <w:numPr>
          <w:ilvl w:val="0"/>
          <w:numId w:val="4"/>
        </w:numPr>
        <w:rPr>
          <w:color w:val="595959" w:themeColor="text1" w:themeTint="A6"/>
          <w:sz w:val="24"/>
          <w:szCs w:val="24"/>
        </w:rPr>
      </w:pPr>
      <w:r w:rsidRPr="00A36B22">
        <w:rPr>
          <w:color w:val="595959" w:themeColor="text1" w:themeTint="A6"/>
          <w:sz w:val="24"/>
          <w:szCs w:val="24"/>
        </w:rPr>
        <w:t>Fiscal incentives</w:t>
      </w:r>
    </w:p>
    <w:p w14:paraId="1D3FB94D" w14:textId="61901702" w:rsidR="00D90408" w:rsidRPr="00A36B22" w:rsidRDefault="00D90408" w:rsidP="00D90408">
      <w:pPr>
        <w:pStyle w:val="ListParagraph"/>
        <w:numPr>
          <w:ilvl w:val="0"/>
          <w:numId w:val="4"/>
        </w:numPr>
        <w:rPr>
          <w:color w:val="595959" w:themeColor="text1" w:themeTint="A6"/>
          <w:sz w:val="24"/>
          <w:szCs w:val="24"/>
        </w:rPr>
      </w:pPr>
      <w:r w:rsidRPr="00A36B22">
        <w:rPr>
          <w:color w:val="595959" w:themeColor="text1" w:themeTint="A6"/>
          <w:sz w:val="24"/>
          <w:szCs w:val="24"/>
        </w:rPr>
        <w:t>Mode of premium payment</w:t>
      </w:r>
    </w:p>
    <w:p w14:paraId="6FCF921F" w14:textId="0925ACC5" w:rsidR="00D90408" w:rsidRPr="00A36B22" w:rsidRDefault="00D90408" w:rsidP="00D90408">
      <w:pPr>
        <w:pStyle w:val="ListParagraph"/>
        <w:ind w:left="0"/>
        <w:rPr>
          <w:color w:val="595959" w:themeColor="text1" w:themeTint="A6"/>
          <w:sz w:val="24"/>
          <w:szCs w:val="24"/>
        </w:rPr>
      </w:pPr>
    </w:p>
    <w:p w14:paraId="42F17FE6" w14:textId="77777777" w:rsidR="00D90408" w:rsidRPr="00A36B22" w:rsidRDefault="00D90408" w:rsidP="00D90408">
      <w:pPr>
        <w:pStyle w:val="ListParagraph"/>
        <w:ind w:left="0"/>
        <w:rPr>
          <w:color w:val="595959" w:themeColor="text1" w:themeTint="A6"/>
          <w:sz w:val="24"/>
          <w:szCs w:val="24"/>
        </w:rPr>
      </w:pPr>
    </w:p>
    <w:p w14:paraId="39EBE0A8" w14:textId="77777777" w:rsidR="004B51B9" w:rsidRPr="002D1C5F" w:rsidRDefault="00D90408" w:rsidP="004B51B9">
      <w:pPr>
        <w:pStyle w:val="ListParagraph"/>
        <w:ind w:left="0"/>
        <w:rPr>
          <w:b/>
          <w:bCs/>
          <w:color w:val="595959" w:themeColor="text1" w:themeTint="A6"/>
          <w:sz w:val="24"/>
          <w:szCs w:val="24"/>
        </w:rPr>
      </w:pPr>
      <w:r w:rsidRPr="002D1C5F">
        <w:rPr>
          <w:b/>
          <w:bCs/>
          <w:color w:val="595959" w:themeColor="text1" w:themeTint="A6"/>
          <w:sz w:val="24"/>
          <w:szCs w:val="24"/>
        </w:rPr>
        <w:t>Ans-</w:t>
      </w:r>
      <w:r w:rsidR="001328EC" w:rsidRPr="002D1C5F">
        <w:rPr>
          <w:b/>
          <w:bCs/>
          <w:color w:val="595959" w:themeColor="text1" w:themeTint="A6"/>
          <w:sz w:val="24"/>
          <w:szCs w:val="24"/>
        </w:rPr>
        <w:t>3</w:t>
      </w:r>
    </w:p>
    <w:p w14:paraId="4BC90D94" w14:textId="595C02FF" w:rsidR="002412CE" w:rsidRPr="00A36B22" w:rsidRDefault="002412CE" w:rsidP="004B51B9">
      <w:pPr>
        <w:pStyle w:val="ListParagraph"/>
        <w:numPr>
          <w:ilvl w:val="0"/>
          <w:numId w:val="7"/>
        </w:numPr>
        <w:rPr>
          <w:color w:val="595959" w:themeColor="text1" w:themeTint="A6"/>
          <w:sz w:val="24"/>
          <w:szCs w:val="24"/>
        </w:rPr>
      </w:pPr>
      <w:r w:rsidRPr="00A36B22">
        <w:rPr>
          <w:color w:val="595959" w:themeColor="text1" w:themeTint="A6"/>
          <w:sz w:val="24"/>
          <w:szCs w:val="24"/>
        </w:rPr>
        <w:t>Insurance company is correct in declining the claim as Mr. Harvey knew that the nurse had not accurately filled the questionnaire and still signed it. It is a</w:t>
      </w:r>
      <w:r w:rsidR="001328EC" w:rsidRPr="00A36B22">
        <w:rPr>
          <w:color w:val="595959" w:themeColor="text1" w:themeTint="A6"/>
          <w:sz w:val="24"/>
          <w:szCs w:val="24"/>
        </w:rPr>
        <w:t xml:space="preserve"> </w:t>
      </w:r>
      <w:r w:rsidRPr="00A36B22">
        <w:rPr>
          <w:color w:val="595959" w:themeColor="text1" w:themeTint="A6"/>
          <w:sz w:val="24"/>
          <w:szCs w:val="24"/>
        </w:rPr>
        <w:t>clear case of non-disclosure.</w:t>
      </w:r>
    </w:p>
    <w:p w14:paraId="7B1AB7E9" w14:textId="77777777" w:rsidR="002412CE" w:rsidRPr="00A36B22" w:rsidRDefault="002412CE" w:rsidP="002412CE">
      <w:pPr>
        <w:pStyle w:val="ListParagraph"/>
        <w:rPr>
          <w:color w:val="595959" w:themeColor="text1" w:themeTint="A6"/>
          <w:sz w:val="24"/>
          <w:szCs w:val="24"/>
        </w:rPr>
      </w:pPr>
    </w:p>
    <w:p w14:paraId="00C53A69" w14:textId="77777777" w:rsidR="002412CE" w:rsidRPr="00A36B22" w:rsidRDefault="002412CE" w:rsidP="002412CE">
      <w:pPr>
        <w:pStyle w:val="ListParagraph"/>
        <w:rPr>
          <w:color w:val="595959" w:themeColor="text1" w:themeTint="A6"/>
          <w:sz w:val="24"/>
          <w:szCs w:val="24"/>
        </w:rPr>
      </w:pPr>
    </w:p>
    <w:p w14:paraId="29352739" w14:textId="26C33521" w:rsidR="002412CE" w:rsidRPr="00A36B22" w:rsidRDefault="002412CE" w:rsidP="004B51B9">
      <w:pPr>
        <w:pStyle w:val="ListParagraph"/>
        <w:numPr>
          <w:ilvl w:val="0"/>
          <w:numId w:val="7"/>
        </w:numPr>
        <w:rPr>
          <w:color w:val="595959" w:themeColor="text1" w:themeTint="A6"/>
          <w:sz w:val="24"/>
          <w:szCs w:val="24"/>
        </w:rPr>
      </w:pPr>
      <w:r w:rsidRPr="00A36B22">
        <w:rPr>
          <w:color w:val="595959" w:themeColor="text1" w:themeTint="A6"/>
          <w:sz w:val="24"/>
          <w:szCs w:val="24"/>
        </w:rPr>
        <w:t xml:space="preserve">Mrs. Harvey must file a complaint to Insurance company of wrongfully rejecting the claim. </w:t>
      </w:r>
    </w:p>
    <w:p w14:paraId="4C08A05A" w14:textId="67DE40FB" w:rsidR="002412CE" w:rsidRPr="00A36B22" w:rsidRDefault="002412CE" w:rsidP="001328EC">
      <w:pPr>
        <w:pStyle w:val="ListParagraph"/>
        <w:rPr>
          <w:color w:val="595959" w:themeColor="text1" w:themeTint="A6"/>
          <w:sz w:val="24"/>
          <w:szCs w:val="24"/>
        </w:rPr>
      </w:pPr>
      <w:r w:rsidRPr="00A36B22">
        <w:rPr>
          <w:color w:val="595959" w:themeColor="text1" w:themeTint="A6"/>
          <w:sz w:val="24"/>
          <w:szCs w:val="24"/>
        </w:rPr>
        <w:t>If company has either rejected it or not resolved it to satisfaction or not responded to it at all for 30</w:t>
      </w:r>
      <w:r w:rsidR="001328EC" w:rsidRPr="00A36B22">
        <w:rPr>
          <w:color w:val="595959" w:themeColor="text1" w:themeTint="A6"/>
          <w:sz w:val="24"/>
          <w:szCs w:val="24"/>
        </w:rPr>
        <w:t xml:space="preserve"> </w:t>
      </w:r>
      <w:r w:rsidRPr="00A36B22">
        <w:rPr>
          <w:color w:val="595959" w:themeColor="text1" w:themeTint="A6"/>
          <w:sz w:val="24"/>
          <w:szCs w:val="24"/>
        </w:rPr>
        <w:t xml:space="preserve">days, Mrs. Harvey can approach the Ombudsman. </w:t>
      </w:r>
    </w:p>
    <w:p w14:paraId="546FC436" w14:textId="77777777" w:rsidR="001328EC" w:rsidRPr="00A36B22" w:rsidRDefault="001328EC" w:rsidP="001328EC">
      <w:pPr>
        <w:pStyle w:val="ListParagraph"/>
        <w:rPr>
          <w:color w:val="595959" w:themeColor="text1" w:themeTint="A6"/>
          <w:sz w:val="24"/>
          <w:szCs w:val="24"/>
        </w:rPr>
      </w:pPr>
    </w:p>
    <w:p w14:paraId="01FC7830" w14:textId="679FEED5" w:rsidR="002412CE" w:rsidRPr="00A36B22" w:rsidRDefault="002412CE" w:rsidP="004B51B9">
      <w:pPr>
        <w:pStyle w:val="ListParagraph"/>
        <w:numPr>
          <w:ilvl w:val="0"/>
          <w:numId w:val="7"/>
        </w:numPr>
        <w:rPr>
          <w:color w:val="595959" w:themeColor="text1" w:themeTint="A6"/>
          <w:sz w:val="24"/>
          <w:szCs w:val="24"/>
        </w:rPr>
      </w:pPr>
      <w:r w:rsidRPr="00A36B22">
        <w:rPr>
          <w:color w:val="595959" w:themeColor="text1" w:themeTint="A6"/>
          <w:sz w:val="24"/>
          <w:szCs w:val="24"/>
        </w:rPr>
        <w:t>Claims could be rejected for any of the following reasons:</w:t>
      </w:r>
    </w:p>
    <w:p w14:paraId="4D9B7498" w14:textId="65ADEB9D" w:rsidR="002412CE" w:rsidRPr="00A36B22" w:rsidRDefault="001328EC" w:rsidP="002412CE">
      <w:pPr>
        <w:pStyle w:val="ListParagraph"/>
        <w:rPr>
          <w:color w:val="595959" w:themeColor="text1" w:themeTint="A6"/>
          <w:sz w:val="24"/>
          <w:szCs w:val="24"/>
        </w:rPr>
      </w:pPr>
      <w:r w:rsidRPr="00A36B22">
        <w:rPr>
          <w:color w:val="595959" w:themeColor="text1" w:themeTint="A6"/>
          <w:sz w:val="24"/>
          <w:szCs w:val="24"/>
        </w:rPr>
        <w:t xml:space="preserve">    </w:t>
      </w:r>
      <w:r w:rsidR="002412CE" w:rsidRPr="00A36B22">
        <w:rPr>
          <w:color w:val="595959" w:themeColor="text1" w:themeTint="A6"/>
          <w:sz w:val="24"/>
          <w:szCs w:val="24"/>
        </w:rPr>
        <w:t>1. Non-Disclosure or Wrong Disclosure of Facts</w:t>
      </w:r>
    </w:p>
    <w:p w14:paraId="5FD4DD09" w14:textId="58DDA79A" w:rsidR="002412CE" w:rsidRPr="00A36B22" w:rsidRDefault="001328EC" w:rsidP="002412CE">
      <w:pPr>
        <w:pStyle w:val="ListParagraph"/>
        <w:rPr>
          <w:color w:val="595959" w:themeColor="text1" w:themeTint="A6"/>
          <w:sz w:val="24"/>
          <w:szCs w:val="24"/>
        </w:rPr>
      </w:pPr>
      <w:r w:rsidRPr="00A36B22">
        <w:rPr>
          <w:color w:val="595959" w:themeColor="text1" w:themeTint="A6"/>
          <w:sz w:val="24"/>
          <w:szCs w:val="24"/>
        </w:rPr>
        <w:t xml:space="preserve">    </w:t>
      </w:r>
      <w:r w:rsidR="002412CE" w:rsidRPr="00A36B22">
        <w:rPr>
          <w:color w:val="595959" w:themeColor="text1" w:themeTint="A6"/>
          <w:sz w:val="24"/>
          <w:szCs w:val="24"/>
        </w:rPr>
        <w:t>2. Not Appointing or Updating Nominee Details</w:t>
      </w:r>
    </w:p>
    <w:p w14:paraId="04308FBE" w14:textId="64458EA7" w:rsidR="002412CE" w:rsidRPr="00A36B22" w:rsidRDefault="001328EC" w:rsidP="002412CE">
      <w:pPr>
        <w:pStyle w:val="ListParagraph"/>
        <w:rPr>
          <w:color w:val="595959" w:themeColor="text1" w:themeTint="A6"/>
          <w:sz w:val="24"/>
          <w:szCs w:val="24"/>
        </w:rPr>
      </w:pPr>
      <w:r w:rsidRPr="00A36B22">
        <w:rPr>
          <w:color w:val="595959" w:themeColor="text1" w:themeTint="A6"/>
          <w:sz w:val="24"/>
          <w:szCs w:val="24"/>
        </w:rPr>
        <w:t xml:space="preserve">    </w:t>
      </w:r>
      <w:r w:rsidR="002412CE" w:rsidRPr="00A36B22">
        <w:rPr>
          <w:color w:val="595959" w:themeColor="text1" w:themeTint="A6"/>
          <w:sz w:val="24"/>
          <w:szCs w:val="24"/>
        </w:rPr>
        <w:t>3. Avoiding Medical Tests</w:t>
      </w:r>
    </w:p>
    <w:p w14:paraId="56072DF6" w14:textId="71C07F0D" w:rsidR="002412CE" w:rsidRPr="00A36B22" w:rsidRDefault="001328EC" w:rsidP="002412CE">
      <w:pPr>
        <w:pStyle w:val="ListParagraph"/>
        <w:rPr>
          <w:color w:val="595959" w:themeColor="text1" w:themeTint="A6"/>
          <w:sz w:val="24"/>
          <w:szCs w:val="24"/>
        </w:rPr>
      </w:pPr>
      <w:r w:rsidRPr="00A36B22">
        <w:rPr>
          <w:color w:val="595959" w:themeColor="text1" w:themeTint="A6"/>
          <w:sz w:val="24"/>
          <w:szCs w:val="24"/>
        </w:rPr>
        <w:t xml:space="preserve">    </w:t>
      </w:r>
      <w:r w:rsidR="002412CE" w:rsidRPr="00A36B22">
        <w:rPr>
          <w:color w:val="595959" w:themeColor="text1" w:themeTint="A6"/>
          <w:sz w:val="24"/>
          <w:szCs w:val="24"/>
        </w:rPr>
        <w:t>4. Operation of a condition or exclusion clause</w:t>
      </w:r>
    </w:p>
    <w:p w14:paraId="6C7B0A36" w14:textId="0A8751E3" w:rsidR="002412CE" w:rsidRPr="00A36B22" w:rsidRDefault="001328EC" w:rsidP="002412CE">
      <w:pPr>
        <w:pStyle w:val="ListParagraph"/>
        <w:rPr>
          <w:color w:val="595959" w:themeColor="text1" w:themeTint="A6"/>
          <w:sz w:val="24"/>
          <w:szCs w:val="24"/>
        </w:rPr>
      </w:pPr>
      <w:r w:rsidRPr="00A36B22">
        <w:rPr>
          <w:color w:val="595959" w:themeColor="text1" w:themeTint="A6"/>
          <w:sz w:val="24"/>
          <w:szCs w:val="24"/>
        </w:rPr>
        <w:t xml:space="preserve">    </w:t>
      </w:r>
      <w:r w:rsidR="002412CE" w:rsidRPr="00A36B22">
        <w:rPr>
          <w:color w:val="595959" w:themeColor="text1" w:themeTint="A6"/>
          <w:sz w:val="24"/>
          <w:szCs w:val="24"/>
        </w:rPr>
        <w:t>5. Fraud</w:t>
      </w:r>
    </w:p>
    <w:p w14:paraId="045D17AF" w14:textId="77777777" w:rsidR="001328EC" w:rsidRPr="00A36B22" w:rsidRDefault="001328EC" w:rsidP="002412CE">
      <w:pPr>
        <w:pStyle w:val="ListParagraph"/>
        <w:rPr>
          <w:color w:val="595959" w:themeColor="text1" w:themeTint="A6"/>
          <w:sz w:val="24"/>
          <w:szCs w:val="24"/>
        </w:rPr>
      </w:pPr>
    </w:p>
    <w:p w14:paraId="07F55063" w14:textId="3AE8618A" w:rsidR="002412CE" w:rsidRPr="00A36B22" w:rsidRDefault="002412CE" w:rsidP="004B51B9">
      <w:pPr>
        <w:pStyle w:val="ListParagraph"/>
        <w:numPr>
          <w:ilvl w:val="0"/>
          <w:numId w:val="7"/>
        </w:numPr>
        <w:rPr>
          <w:color w:val="595959" w:themeColor="text1" w:themeTint="A6"/>
          <w:sz w:val="24"/>
          <w:szCs w:val="24"/>
        </w:rPr>
      </w:pPr>
      <w:r w:rsidRPr="00A36B22">
        <w:rPr>
          <w:color w:val="595959" w:themeColor="text1" w:themeTint="A6"/>
          <w:sz w:val="24"/>
          <w:szCs w:val="24"/>
        </w:rPr>
        <w:t>Underwriting is the process of consideration of an insurance risk. Through insurance the</w:t>
      </w:r>
      <w:r w:rsidR="001328EC" w:rsidRPr="00A36B22">
        <w:rPr>
          <w:color w:val="595959" w:themeColor="text1" w:themeTint="A6"/>
          <w:sz w:val="24"/>
          <w:szCs w:val="24"/>
        </w:rPr>
        <w:t xml:space="preserve"> </w:t>
      </w:r>
      <w:r w:rsidRPr="00A36B22">
        <w:rPr>
          <w:color w:val="595959" w:themeColor="text1" w:themeTint="A6"/>
          <w:sz w:val="24"/>
          <w:szCs w:val="24"/>
        </w:rPr>
        <w:t xml:space="preserve">company assumes the liability and uses underwriting as a tool to manage risk. </w:t>
      </w:r>
    </w:p>
    <w:p w14:paraId="46621A04" w14:textId="77777777" w:rsidR="001328EC" w:rsidRPr="00A36B22" w:rsidRDefault="001328EC" w:rsidP="001328EC">
      <w:pPr>
        <w:pStyle w:val="ListParagraph"/>
        <w:rPr>
          <w:color w:val="595959" w:themeColor="text1" w:themeTint="A6"/>
          <w:sz w:val="24"/>
          <w:szCs w:val="24"/>
        </w:rPr>
      </w:pPr>
    </w:p>
    <w:p w14:paraId="0561BEA3" w14:textId="56A8B89F" w:rsidR="00D90408" w:rsidRPr="00A36B22" w:rsidRDefault="002412CE" w:rsidP="00310E3D">
      <w:pPr>
        <w:pStyle w:val="ListParagraph"/>
        <w:numPr>
          <w:ilvl w:val="0"/>
          <w:numId w:val="9"/>
        </w:numPr>
        <w:rPr>
          <w:color w:val="595959" w:themeColor="text1" w:themeTint="A6"/>
          <w:sz w:val="24"/>
          <w:szCs w:val="24"/>
        </w:rPr>
      </w:pPr>
      <w:r w:rsidRPr="00A36B22">
        <w:rPr>
          <w:color w:val="595959" w:themeColor="text1" w:themeTint="A6"/>
          <w:sz w:val="24"/>
          <w:szCs w:val="24"/>
        </w:rPr>
        <w:t>It involves selecting lives that fit the company’s underwriting standards</w:t>
      </w:r>
    </w:p>
    <w:p w14:paraId="174A6321" w14:textId="439A76D6" w:rsidR="00310E3D" w:rsidRPr="00A36B22" w:rsidRDefault="00310E3D" w:rsidP="00310E3D">
      <w:pPr>
        <w:pStyle w:val="ListParagraph"/>
        <w:numPr>
          <w:ilvl w:val="0"/>
          <w:numId w:val="9"/>
        </w:numPr>
        <w:rPr>
          <w:color w:val="595959" w:themeColor="text1" w:themeTint="A6"/>
          <w:sz w:val="24"/>
          <w:szCs w:val="24"/>
        </w:rPr>
      </w:pPr>
      <w:r w:rsidRPr="00A36B22">
        <w:rPr>
          <w:color w:val="595959" w:themeColor="text1" w:themeTint="A6"/>
          <w:sz w:val="24"/>
          <w:szCs w:val="24"/>
        </w:rPr>
        <w:t>Makes sure proper balance is maintained within each rate classification</w:t>
      </w:r>
    </w:p>
    <w:p w14:paraId="206D53F0" w14:textId="031546AA" w:rsidR="00310E3D" w:rsidRPr="00A36B22" w:rsidRDefault="00310E3D" w:rsidP="00310E3D">
      <w:pPr>
        <w:pStyle w:val="ListParagraph"/>
        <w:numPr>
          <w:ilvl w:val="0"/>
          <w:numId w:val="9"/>
        </w:numPr>
        <w:rPr>
          <w:color w:val="595959" w:themeColor="text1" w:themeTint="A6"/>
          <w:sz w:val="24"/>
          <w:szCs w:val="24"/>
        </w:rPr>
      </w:pPr>
      <w:r w:rsidRPr="00A36B22">
        <w:rPr>
          <w:color w:val="595959" w:themeColor="text1" w:themeTint="A6"/>
          <w:sz w:val="24"/>
          <w:szCs w:val="24"/>
        </w:rPr>
        <w:t>Charging equitable rates thus charging more to a substandard life to     compensate for the additional risk</w:t>
      </w:r>
    </w:p>
    <w:p w14:paraId="1D39F22F" w14:textId="7B86E222" w:rsidR="00310E3D" w:rsidRPr="00A36B22" w:rsidRDefault="00310E3D" w:rsidP="00310E3D">
      <w:pPr>
        <w:pStyle w:val="ListParagraph"/>
        <w:numPr>
          <w:ilvl w:val="0"/>
          <w:numId w:val="9"/>
        </w:numPr>
        <w:rPr>
          <w:color w:val="595959" w:themeColor="text1" w:themeTint="A6"/>
          <w:sz w:val="24"/>
          <w:szCs w:val="24"/>
        </w:rPr>
      </w:pPr>
      <w:r w:rsidRPr="00A36B22">
        <w:rPr>
          <w:color w:val="595959" w:themeColor="text1" w:themeTint="A6"/>
          <w:sz w:val="24"/>
          <w:szCs w:val="24"/>
        </w:rPr>
        <w:t>In order to avoid adverse selection against the company</w:t>
      </w:r>
    </w:p>
    <w:p w14:paraId="35B40821" w14:textId="43C54B82" w:rsidR="00310E3D" w:rsidRPr="00A36B22" w:rsidRDefault="00310E3D" w:rsidP="00310E3D">
      <w:pPr>
        <w:pStyle w:val="ListParagraph"/>
        <w:numPr>
          <w:ilvl w:val="0"/>
          <w:numId w:val="9"/>
        </w:numPr>
        <w:rPr>
          <w:color w:val="595959" w:themeColor="text1" w:themeTint="A6"/>
          <w:sz w:val="24"/>
          <w:szCs w:val="24"/>
        </w:rPr>
      </w:pPr>
      <w:r w:rsidRPr="00A36B22">
        <w:rPr>
          <w:color w:val="595959" w:themeColor="text1" w:themeTint="A6"/>
          <w:sz w:val="24"/>
          <w:szCs w:val="24"/>
        </w:rPr>
        <w:t>Avoid Moral and Morale Hazard</w:t>
      </w:r>
    </w:p>
    <w:p w14:paraId="02EE9C89" w14:textId="7329A224" w:rsidR="0033094F" w:rsidRPr="00A36B22" w:rsidRDefault="0033094F" w:rsidP="0033094F">
      <w:pPr>
        <w:pStyle w:val="ListParagraph"/>
        <w:ind w:left="1584"/>
        <w:rPr>
          <w:color w:val="595959" w:themeColor="text1" w:themeTint="A6"/>
          <w:sz w:val="24"/>
          <w:szCs w:val="24"/>
        </w:rPr>
      </w:pPr>
    </w:p>
    <w:p w14:paraId="1F3E3C6F" w14:textId="77777777" w:rsidR="0033094F" w:rsidRPr="00A36B22" w:rsidRDefault="0033094F" w:rsidP="0033094F">
      <w:pPr>
        <w:pStyle w:val="ListParagraph"/>
        <w:ind w:left="1584"/>
        <w:rPr>
          <w:color w:val="595959" w:themeColor="text1" w:themeTint="A6"/>
          <w:sz w:val="24"/>
          <w:szCs w:val="24"/>
        </w:rPr>
      </w:pPr>
    </w:p>
    <w:p w14:paraId="41473919" w14:textId="2F84143B" w:rsidR="0033094F" w:rsidRPr="00A36B22" w:rsidRDefault="0033094F" w:rsidP="0033094F">
      <w:pPr>
        <w:pStyle w:val="ListParagraph"/>
        <w:numPr>
          <w:ilvl w:val="0"/>
          <w:numId w:val="7"/>
        </w:numPr>
        <w:rPr>
          <w:color w:val="595959" w:themeColor="text1" w:themeTint="A6"/>
          <w:sz w:val="24"/>
          <w:szCs w:val="24"/>
        </w:rPr>
      </w:pPr>
      <w:r w:rsidRPr="00A36B22">
        <w:rPr>
          <w:color w:val="595959" w:themeColor="text1" w:themeTint="A6"/>
          <w:sz w:val="24"/>
          <w:szCs w:val="24"/>
        </w:rPr>
        <w:t xml:space="preserve">The main types of Underwriting are: </w:t>
      </w:r>
    </w:p>
    <w:p w14:paraId="64663B69" w14:textId="77777777" w:rsidR="0033094F" w:rsidRPr="00A36B22" w:rsidRDefault="0033094F" w:rsidP="0033094F">
      <w:pPr>
        <w:pStyle w:val="ListParagraph"/>
        <w:numPr>
          <w:ilvl w:val="0"/>
          <w:numId w:val="11"/>
        </w:numPr>
        <w:rPr>
          <w:color w:val="595959" w:themeColor="text1" w:themeTint="A6"/>
          <w:sz w:val="24"/>
          <w:szCs w:val="24"/>
        </w:rPr>
      </w:pPr>
      <w:r w:rsidRPr="00A36B22">
        <w:rPr>
          <w:color w:val="595959" w:themeColor="text1" w:themeTint="A6"/>
          <w:sz w:val="24"/>
          <w:szCs w:val="24"/>
        </w:rPr>
        <w:t>Medical</w:t>
      </w:r>
    </w:p>
    <w:p w14:paraId="4102285A" w14:textId="77777777" w:rsidR="0033094F" w:rsidRPr="00A36B22" w:rsidRDefault="0033094F" w:rsidP="0033094F">
      <w:pPr>
        <w:pStyle w:val="ListParagraph"/>
        <w:numPr>
          <w:ilvl w:val="0"/>
          <w:numId w:val="11"/>
        </w:numPr>
        <w:rPr>
          <w:color w:val="595959" w:themeColor="text1" w:themeTint="A6"/>
          <w:sz w:val="24"/>
          <w:szCs w:val="24"/>
        </w:rPr>
      </w:pPr>
      <w:r w:rsidRPr="00A36B22">
        <w:rPr>
          <w:color w:val="595959" w:themeColor="text1" w:themeTint="A6"/>
          <w:sz w:val="24"/>
          <w:szCs w:val="24"/>
        </w:rPr>
        <w:t>Financial</w:t>
      </w:r>
    </w:p>
    <w:p w14:paraId="0AD2CC2E" w14:textId="77777777" w:rsidR="0033094F" w:rsidRPr="00A36B22" w:rsidRDefault="0033094F" w:rsidP="0033094F">
      <w:pPr>
        <w:pStyle w:val="ListParagraph"/>
        <w:numPr>
          <w:ilvl w:val="0"/>
          <w:numId w:val="11"/>
        </w:numPr>
        <w:rPr>
          <w:color w:val="595959" w:themeColor="text1" w:themeTint="A6"/>
          <w:sz w:val="24"/>
          <w:szCs w:val="24"/>
        </w:rPr>
      </w:pPr>
      <w:r w:rsidRPr="00A36B22">
        <w:rPr>
          <w:color w:val="595959" w:themeColor="text1" w:themeTint="A6"/>
          <w:sz w:val="24"/>
          <w:szCs w:val="24"/>
        </w:rPr>
        <w:t>Lifestyle</w:t>
      </w:r>
    </w:p>
    <w:p w14:paraId="0A7D4544" w14:textId="2F5CB337" w:rsidR="0033094F" w:rsidRPr="00A36B22" w:rsidRDefault="0033094F" w:rsidP="0033094F">
      <w:pPr>
        <w:pStyle w:val="ListParagraph"/>
        <w:numPr>
          <w:ilvl w:val="0"/>
          <w:numId w:val="11"/>
        </w:numPr>
        <w:rPr>
          <w:color w:val="595959" w:themeColor="text1" w:themeTint="A6"/>
          <w:sz w:val="24"/>
          <w:szCs w:val="24"/>
        </w:rPr>
      </w:pPr>
      <w:r w:rsidRPr="00A36B22">
        <w:rPr>
          <w:color w:val="595959" w:themeColor="text1" w:themeTint="A6"/>
          <w:sz w:val="24"/>
          <w:szCs w:val="24"/>
        </w:rPr>
        <w:t>Claims</w:t>
      </w:r>
    </w:p>
    <w:p w14:paraId="12540A24" w14:textId="3D15D3A8" w:rsidR="001678EB" w:rsidRPr="00A36B22" w:rsidRDefault="001678EB" w:rsidP="001678EB">
      <w:pPr>
        <w:pStyle w:val="ListParagraph"/>
        <w:rPr>
          <w:color w:val="595959" w:themeColor="text1" w:themeTint="A6"/>
          <w:sz w:val="24"/>
          <w:szCs w:val="24"/>
        </w:rPr>
      </w:pPr>
    </w:p>
    <w:p w14:paraId="4227BE41" w14:textId="77777777" w:rsidR="002D1C5F" w:rsidRDefault="001678EB" w:rsidP="002D1C5F">
      <w:pPr>
        <w:pStyle w:val="Subtitle"/>
        <w:numPr>
          <w:ilvl w:val="0"/>
          <w:numId w:val="0"/>
        </w:numPr>
        <w:rPr>
          <w:b/>
          <w:bCs/>
          <w:color w:val="595959" w:themeColor="text1" w:themeTint="A6"/>
        </w:rPr>
      </w:pPr>
      <w:r w:rsidRPr="002D1C5F">
        <w:rPr>
          <w:b/>
          <w:bCs/>
          <w:color w:val="595959" w:themeColor="text1" w:themeTint="A6"/>
        </w:rPr>
        <w:t>Ans-4</w:t>
      </w:r>
    </w:p>
    <w:p w14:paraId="2802D9A7" w14:textId="5A6374CE" w:rsidR="00EC50E3" w:rsidRPr="00A36B22" w:rsidRDefault="00EC50E3" w:rsidP="002D1C5F">
      <w:pPr>
        <w:pStyle w:val="Subtitle"/>
        <w:numPr>
          <w:ilvl w:val="0"/>
          <w:numId w:val="14"/>
        </w:numPr>
      </w:pPr>
      <w:r w:rsidRPr="00A36B22">
        <w:t xml:space="preserve">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 </w:t>
      </w:r>
    </w:p>
    <w:p w14:paraId="106495AA" w14:textId="1C53DF19" w:rsidR="00EC50E3" w:rsidRPr="00A36B22" w:rsidRDefault="00EC50E3" w:rsidP="002D1C5F">
      <w:pPr>
        <w:pStyle w:val="Subtitle"/>
        <w:numPr>
          <w:ilvl w:val="0"/>
          <w:numId w:val="14"/>
        </w:numPr>
      </w:pPr>
      <w:r w:rsidRPr="00A36B22">
        <w:t>Equity means charging premiums commensurate with the expected losses and other costs that insured bring to the insurance pool. The pursuit of equity is one of the goals of underwriting classification and selection of insured.</w:t>
      </w:r>
    </w:p>
    <w:p w14:paraId="7DCE64DC" w14:textId="247380CD" w:rsidR="00EC50E3" w:rsidRPr="00A36B22" w:rsidRDefault="00EC50E3" w:rsidP="002D1C5F">
      <w:pPr>
        <w:pStyle w:val="Subtitle"/>
        <w:numPr>
          <w:ilvl w:val="0"/>
          <w:numId w:val="14"/>
        </w:numPr>
      </w:pPr>
      <w:r w:rsidRPr="00A36B22">
        <w:t>Rates should not be excessive in relation to the benefits provided. By establishing a ceiling on the rates, this objective is achieved. Competition discourages excessive pricing.</w:t>
      </w:r>
    </w:p>
    <w:p w14:paraId="72003E69" w14:textId="77777777" w:rsidR="00EC50E3" w:rsidRPr="00A36B22" w:rsidRDefault="00EC50E3" w:rsidP="002D1C5F">
      <w:pPr>
        <w:ind w:left="45"/>
        <w:rPr>
          <w:sz w:val="24"/>
          <w:szCs w:val="24"/>
        </w:rPr>
      </w:pPr>
    </w:p>
    <w:p w14:paraId="1C2DF35A" w14:textId="77777777" w:rsidR="002D1C5F" w:rsidRDefault="00EC50E3" w:rsidP="002D1C5F">
      <w:pPr>
        <w:pStyle w:val="Subtitle"/>
        <w:numPr>
          <w:ilvl w:val="0"/>
          <w:numId w:val="0"/>
        </w:numPr>
      </w:pPr>
      <w:r w:rsidRPr="002D1C5F">
        <w:rPr>
          <w:b/>
          <w:bCs/>
        </w:rPr>
        <w:t>Ans-5</w:t>
      </w:r>
      <w:r w:rsidRPr="00A36B22">
        <w:rPr>
          <w:bCs/>
        </w:rPr>
        <w:t xml:space="preserve"> </w:t>
      </w:r>
    </w:p>
    <w:p w14:paraId="0E6730F8" w14:textId="0A2F07E3" w:rsidR="00EC50E3" w:rsidRPr="00A36B22" w:rsidRDefault="00EC50E3" w:rsidP="002D1C5F">
      <w:pPr>
        <w:pStyle w:val="Subtitle"/>
        <w:numPr>
          <w:ilvl w:val="0"/>
          <w:numId w:val="15"/>
        </w:numPr>
        <w:jc w:val="both"/>
        <w:rPr>
          <w:rFonts w:cs="Tahoma"/>
        </w:rPr>
      </w:pPr>
      <w:r w:rsidRPr="00A36B22">
        <w:t>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w:t>
      </w:r>
    </w:p>
    <w:p w14:paraId="27CE4016" w14:textId="494E463D" w:rsidR="00EC50E3" w:rsidRPr="00A36B22" w:rsidRDefault="00EC50E3" w:rsidP="002D1C5F">
      <w:pPr>
        <w:pStyle w:val="Subtitle"/>
        <w:numPr>
          <w:ilvl w:val="0"/>
          <w:numId w:val="15"/>
        </w:numPr>
        <w:jc w:val="both"/>
        <w:rPr>
          <w:rFonts w:cs="Tahoma"/>
        </w:rPr>
      </w:pPr>
      <w:r w:rsidRPr="00A36B22">
        <w:t xml:space="preserve">Single premium </w:t>
      </w:r>
      <w:r w:rsidR="002D1C5F" w:rsidRPr="00A36B22">
        <w:t>plan:</w:t>
      </w:r>
      <w:r w:rsidRPr="00A36B22">
        <w:t xml:space="preserve"> 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w:t>
      </w:r>
    </w:p>
    <w:p w14:paraId="2E7D42FE" w14:textId="5AE96388" w:rsidR="00EC50E3" w:rsidRPr="00A36B22" w:rsidRDefault="00EC50E3" w:rsidP="002D1C5F">
      <w:pPr>
        <w:pStyle w:val="Subtitle"/>
        <w:numPr>
          <w:ilvl w:val="0"/>
          <w:numId w:val="15"/>
        </w:numPr>
        <w:jc w:val="both"/>
      </w:pPr>
      <w:r w:rsidRPr="00A36B22">
        <w:t xml:space="preserve">Level premium </w:t>
      </w:r>
      <w:r w:rsidR="002D1C5F" w:rsidRPr="00A36B22">
        <w:t>plan:</w:t>
      </w:r>
      <w:r w:rsidRPr="00A36B22">
        <w:rPr>
          <w:rFonts w:cs="Tahoma"/>
        </w:rPr>
        <w:t xml:space="preserve"> </w:t>
      </w:r>
      <w:r w:rsidRPr="00A36B22">
        <w:t>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w:t>
      </w:r>
    </w:p>
    <w:p w14:paraId="167FCA31" w14:textId="7AC988C9" w:rsidR="00EC50E3" w:rsidRPr="00A36B22" w:rsidRDefault="00EC50E3" w:rsidP="002D1C5F">
      <w:pPr>
        <w:pStyle w:val="Subtitle"/>
        <w:numPr>
          <w:ilvl w:val="0"/>
          <w:numId w:val="15"/>
        </w:numPr>
        <w:jc w:val="both"/>
      </w:pPr>
      <w:r w:rsidRPr="00A36B22">
        <w:t xml:space="preserve">Flexible premium </w:t>
      </w:r>
      <w:r w:rsidR="002D1C5F" w:rsidRPr="00A36B22">
        <w:t>plan:</w:t>
      </w:r>
      <w:r w:rsidRPr="00A36B22">
        <w:t xml:space="preserve">  Flexibility of deciding the amount of premium to be paid is allowed by many insurers to policy owners. Ex. Universal life policies. Out of the amount paid, mortality charges and expenses are deducted and balance accumulates and the insurer gives interest credit to the insured.</w:t>
      </w:r>
    </w:p>
    <w:p w14:paraId="3F7C6AF4" w14:textId="77777777" w:rsidR="00EC50E3" w:rsidRPr="00A36B22" w:rsidRDefault="00EC50E3" w:rsidP="00A36B22">
      <w:pPr>
        <w:pStyle w:val="Subtitle"/>
      </w:pPr>
    </w:p>
    <w:p w14:paraId="0368EB14" w14:textId="77777777" w:rsidR="002D1C5F" w:rsidRDefault="00EC50E3" w:rsidP="002D1C5F">
      <w:pPr>
        <w:pStyle w:val="Subtitle"/>
        <w:rPr>
          <w:b/>
          <w:bCs/>
        </w:rPr>
      </w:pPr>
      <w:r w:rsidRPr="002D1C5F">
        <w:rPr>
          <w:b/>
          <w:bCs/>
        </w:rPr>
        <w:t>Ans-</w:t>
      </w:r>
      <w:r w:rsidR="002D1C5F" w:rsidRPr="002D1C5F">
        <w:rPr>
          <w:b/>
          <w:bCs/>
        </w:rPr>
        <w:t>6</w:t>
      </w:r>
    </w:p>
    <w:p w14:paraId="231FF27A" w14:textId="10ED8736" w:rsidR="00EC50E3" w:rsidRPr="002D1C5F" w:rsidRDefault="002D1C5F" w:rsidP="002D1C5F">
      <w:pPr>
        <w:pStyle w:val="Subtitle"/>
        <w:rPr>
          <w:b/>
          <w:bCs/>
        </w:rPr>
      </w:pPr>
      <w:r w:rsidRPr="00A36B22">
        <w:rPr>
          <w:bCs/>
        </w:rPr>
        <w:t xml:space="preserve"> </w:t>
      </w:r>
      <w:r w:rsidRPr="00A36B22">
        <w:t>In</w:t>
      </w:r>
      <w:r w:rsidR="00EC50E3" w:rsidRPr="00A36B22">
        <w:t xml:space="preserve"> traditional cash value </w:t>
      </w:r>
      <w:r w:rsidRPr="00A36B22">
        <w:t>insurance,</w:t>
      </w:r>
      <w:r w:rsidR="00EC50E3" w:rsidRPr="00A36B22">
        <w:t xml:space="preserve"> policy has an investment component which accumulates cash value which policyholder can withdraw or borrow against when they need funds.</w:t>
      </w:r>
    </w:p>
    <w:p w14:paraId="1BA5F203" w14:textId="1AA43494" w:rsidR="00EC50E3" w:rsidRPr="00A36B22" w:rsidRDefault="00EC50E3" w:rsidP="002D1C5F">
      <w:pPr>
        <w:pStyle w:val="Subtitle"/>
        <w:jc w:val="both"/>
      </w:pPr>
      <w:r w:rsidRPr="00A36B22">
        <w:t xml:space="preserve">While universal life insurance is type of cash value insurance in US in which excess premium payments above current cost of insurance is credited to cash value of </w:t>
      </w:r>
      <w:r w:rsidR="002D1C5F" w:rsidRPr="00A36B22">
        <w:t>policy,</w:t>
      </w:r>
      <w:r w:rsidRPr="00A36B22">
        <w:t xml:space="preserve"> credited with interest each month </w:t>
      </w:r>
    </w:p>
    <w:p w14:paraId="48421FB3" w14:textId="77777777" w:rsidR="00EC50E3" w:rsidRPr="00A36B22" w:rsidRDefault="00EC50E3" w:rsidP="00A36B22">
      <w:pPr>
        <w:pStyle w:val="Subtitle"/>
      </w:pPr>
    </w:p>
    <w:p w14:paraId="66600E15" w14:textId="77777777" w:rsidR="002D1C5F" w:rsidRDefault="00EC50E3" w:rsidP="00A36B22">
      <w:pPr>
        <w:pStyle w:val="Subtitle"/>
        <w:rPr>
          <w:bCs/>
        </w:rPr>
      </w:pPr>
      <w:r w:rsidRPr="002D1C5F">
        <w:rPr>
          <w:b/>
        </w:rPr>
        <w:t>Ans-</w:t>
      </w:r>
      <w:r w:rsidR="002D1C5F" w:rsidRPr="002D1C5F">
        <w:rPr>
          <w:b/>
        </w:rPr>
        <w:t>7</w:t>
      </w:r>
      <w:r w:rsidR="002D1C5F" w:rsidRPr="00A36B22">
        <w:rPr>
          <w:bCs/>
        </w:rPr>
        <w:t xml:space="preserve"> </w:t>
      </w:r>
    </w:p>
    <w:p w14:paraId="68353BB8" w14:textId="38DAF389" w:rsidR="00013417" w:rsidRDefault="00013417" w:rsidP="00013417">
      <w:pPr>
        <w:pStyle w:val="Subtitle"/>
      </w:pPr>
      <w:r>
        <w:t>T</w:t>
      </w:r>
      <w:r>
        <w:t>he following are the different types of claims which come up before an Insurance</w:t>
      </w:r>
    </w:p>
    <w:p w14:paraId="5D40FE26" w14:textId="77777777" w:rsidR="00013417" w:rsidRDefault="00013417" w:rsidP="00013417">
      <w:pPr>
        <w:pStyle w:val="Subtitle"/>
      </w:pPr>
      <w:r>
        <w:t>Company.</w:t>
      </w:r>
    </w:p>
    <w:p w14:paraId="2162DEC2" w14:textId="598A8C38" w:rsidR="00013417" w:rsidRPr="009425AE" w:rsidRDefault="00013417" w:rsidP="00013417">
      <w:pPr>
        <w:pStyle w:val="Subtitle"/>
        <w:rPr>
          <w:b/>
          <w:bCs/>
        </w:rPr>
      </w:pPr>
      <w:r w:rsidRPr="009425AE">
        <w:rPr>
          <w:b/>
          <w:bCs/>
        </w:rPr>
        <w:t>1.Maturity Claims and Survival Benefits</w:t>
      </w:r>
    </w:p>
    <w:p w14:paraId="5F03365B" w14:textId="77777777" w:rsidR="00013417" w:rsidRPr="009425AE" w:rsidRDefault="00013417" w:rsidP="00013417">
      <w:pPr>
        <w:rPr>
          <w:rStyle w:val="SubtleReference"/>
        </w:rPr>
      </w:pPr>
      <w:r w:rsidRPr="009425AE">
        <w:rPr>
          <w:rStyle w:val="SubtleReference"/>
        </w:rPr>
        <w:t>Payment of Maturity Claims is by far the easiest to manage. These include benefits payable during</w:t>
      </w:r>
    </w:p>
    <w:p w14:paraId="194939C5" w14:textId="77777777" w:rsidR="00013417" w:rsidRPr="009425AE" w:rsidRDefault="00013417" w:rsidP="00013417">
      <w:pPr>
        <w:rPr>
          <w:rStyle w:val="SubtleReference"/>
        </w:rPr>
      </w:pPr>
      <w:r w:rsidRPr="009425AE">
        <w:rPr>
          <w:rStyle w:val="SubtleReference"/>
        </w:rPr>
        <w:t>the period of assurance called ‘Survival Benefits’ under certain types of policies popularly known as</w:t>
      </w:r>
    </w:p>
    <w:p w14:paraId="3332202E" w14:textId="3202E46A" w:rsidR="00013417" w:rsidRPr="009425AE" w:rsidRDefault="00013417" w:rsidP="00013417">
      <w:pPr>
        <w:rPr>
          <w:rStyle w:val="SubtleReference"/>
        </w:rPr>
      </w:pPr>
      <w:r w:rsidRPr="009425AE">
        <w:rPr>
          <w:rStyle w:val="SubtleReference"/>
        </w:rPr>
        <w:t>‘Money Back’ policies.</w:t>
      </w:r>
    </w:p>
    <w:p w14:paraId="2EE81ADA" w14:textId="77777777" w:rsidR="00013417" w:rsidRPr="009425AE" w:rsidRDefault="00013417" w:rsidP="00013417">
      <w:pPr>
        <w:rPr>
          <w:rStyle w:val="SubtleReference"/>
        </w:rPr>
      </w:pPr>
      <w:r w:rsidRPr="009425AE">
        <w:rPr>
          <w:rStyle w:val="SubtleReference"/>
        </w:rPr>
        <w:t>The requirements for settlement of these claims are very simple. They are:</w:t>
      </w:r>
    </w:p>
    <w:p w14:paraId="195AE3DB" w14:textId="09C53D96" w:rsidR="00013417" w:rsidRPr="009425AE" w:rsidRDefault="00013417" w:rsidP="00013417">
      <w:pPr>
        <w:pStyle w:val="ListParagraph"/>
        <w:numPr>
          <w:ilvl w:val="0"/>
          <w:numId w:val="15"/>
        </w:numPr>
        <w:rPr>
          <w:rStyle w:val="SubtleReference"/>
        </w:rPr>
      </w:pPr>
      <w:r w:rsidRPr="009425AE">
        <w:rPr>
          <w:rStyle w:val="SubtleReference"/>
        </w:rPr>
        <w:t>A Discharge Voucher to be sent in advance</w:t>
      </w:r>
    </w:p>
    <w:p w14:paraId="4EE4070C" w14:textId="7D595094" w:rsidR="00013417" w:rsidRPr="009425AE" w:rsidRDefault="00013417" w:rsidP="00013417">
      <w:pPr>
        <w:pStyle w:val="ListParagraph"/>
        <w:numPr>
          <w:ilvl w:val="0"/>
          <w:numId w:val="15"/>
        </w:numPr>
        <w:rPr>
          <w:rStyle w:val="SubtleReference"/>
        </w:rPr>
      </w:pPr>
      <w:r w:rsidRPr="009425AE">
        <w:rPr>
          <w:rStyle w:val="SubtleReference"/>
        </w:rPr>
        <w:t>Policy Document</w:t>
      </w:r>
    </w:p>
    <w:p w14:paraId="340185A2" w14:textId="3CEDCCC9" w:rsidR="00013417" w:rsidRPr="009425AE" w:rsidRDefault="00013417" w:rsidP="00013417">
      <w:pPr>
        <w:pStyle w:val="ListParagraph"/>
        <w:numPr>
          <w:ilvl w:val="0"/>
          <w:numId w:val="15"/>
        </w:numPr>
        <w:rPr>
          <w:rStyle w:val="SubtleReference"/>
        </w:rPr>
      </w:pPr>
      <w:r w:rsidRPr="009425AE">
        <w:rPr>
          <w:rStyle w:val="SubtleReference"/>
        </w:rPr>
        <w:t>Any Deed of Assignment, if the same was executed on a separate Stamp Paper.</w:t>
      </w:r>
    </w:p>
    <w:p w14:paraId="690881FB" w14:textId="3625AFB2" w:rsidR="00013417" w:rsidRPr="009425AE" w:rsidRDefault="00013417" w:rsidP="00013417">
      <w:pPr>
        <w:pStyle w:val="Subtitle"/>
        <w:rPr>
          <w:rStyle w:val="SubtleReference"/>
          <w:b/>
          <w:bCs/>
        </w:rPr>
      </w:pPr>
      <w:r w:rsidRPr="009425AE">
        <w:rPr>
          <w:rStyle w:val="SubtleReference"/>
          <w:b/>
          <w:bCs/>
        </w:rPr>
        <w:t>2.Death Claims</w:t>
      </w:r>
    </w:p>
    <w:p w14:paraId="124278D1" w14:textId="77777777" w:rsidR="00013417" w:rsidRPr="009425AE" w:rsidRDefault="00013417" w:rsidP="00013417">
      <w:pPr>
        <w:rPr>
          <w:rStyle w:val="SubtleReference"/>
        </w:rPr>
      </w:pPr>
      <w:r w:rsidRPr="009425AE">
        <w:rPr>
          <w:rStyle w:val="SubtleReference"/>
        </w:rPr>
        <w:t>Life insurance is basically for providing financial security to the families of deceased policyholders.</w:t>
      </w:r>
    </w:p>
    <w:p w14:paraId="1B21B5D5" w14:textId="77777777" w:rsidR="00013417" w:rsidRPr="009425AE" w:rsidRDefault="00013417" w:rsidP="00013417">
      <w:pPr>
        <w:rPr>
          <w:rStyle w:val="SubtleReference"/>
        </w:rPr>
      </w:pPr>
      <w:r w:rsidRPr="009425AE">
        <w:rPr>
          <w:rStyle w:val="SubtleReference"/>
        </w:rPr>
        <w:t>Death claim settlement naturally assumes very great importance in the total operations of any Life</w:t>
      </w:r>
    </w:p>
    <w:p w14:paraId="77495FED" w14:textId="77777777" w:rsidR="00013417" w:rsidRPr="009425AE" w:rsidRDefault="00013417" w:rsidP="00013417">
      <w:pPr>
        <w:rPr>
          <w:rStyle w:val="SubtleReference"/>
        </w:rPr>
      </w:pPr>
      <w:r w:rsidRPr="009425AE">
        <w:rPr>
          <w:rStyle w:val="SubtleReference"/>
        </w:rPr>
        <w:t>Insurance Company. Despite several problems encountered, still Life Insurance Companies struggle</w:t>
      </w:r>
    </w:p>
    <w:p w14:paraId="54F2061A" w14:textId="77777777" w:rsidR="00013417" w:rsidRPr="009425AE" w:rsidRDefault="00013417" w:rsidP="00013417">
      <w:pPr>
        <w:rPr>
          <w:rStyle w:val="SubtleReference"/>
        </w:rPr>
      </w:pPr>
      <w:r w:rsidRPr="009425AE">
        <w:rPr>
          <w:rStyle w:val="SubtleReference"/>
        </w:rPr>
        <w:t>to efficiently and effectively attend to this function. Unlike in Maturity and Survival Bene t Claims,</w:t>
      </w:r>
    </w:p>
    <w:p w14:paraId="63E0E8C9" w14:textId="77777777" w:rsidR="00013417" w:rsidRPr="009425AE" w:rsidRDefault="00013417" w:rsidP="00013417">
      <w:pPr>
        <w:rPr>
          <w:rStyle w:val="SubtleReference"/>
        </w:rPr>
      </w:pPr>
      <w:r w:rsidRPr="009425AE">
        <w:rPr>
          <w:rStyle w:val="SubtleReference"/>
        </w:rPr>
        <w:t>the Policyholder is not alive. This itself poses many problems. Broadly the problems in settlement</w:t>
      </w:r>
    </w:p>
    <w:p w14:paraId="464F62F3" w14:textId="77777777" w:rsidR="00013417" w:rsidRPr="009425AE" w:rsidRDefault="00013417" w:rsidP="00013417">
      <w:pPr>
        <w:rPr>
          <w:rStyle w:val="SubtleReference"/>
        </w:rPr>
      </w:pPr>
      <w:r w:rsidRPr="009425AE">
        <w:rPr>
          <w:rStyle w:val="SubtleReference"/>
        </w:rPr>
        <w:t>of Death claims are</w:t>
      </w:r>
    </w:p>
    <w:p w14:paraId="6E93EEBF" w14:textId="5B7F8F33" w:rsidR="00013417" w:rsidRPr="009425AE" w:rsidRDefault="00013417" w:rsidP="00134ED4">
      <w:pPr>
        <w:pStyle w:val="ListParagraph"/>
        <w:numPr>
          <w:ilvl w:val="0"/>
          <w:numId w:val="18"/>
        </w:numPr>
        <w:rPr>
          <w:rStyle w:val="SubtleReference"/>
        </w:rPr>
      </w:pPr>
      <w:r w:rsidRPr="009425AE">
        <w:rPr>
          <w:rStyle w:val="SubtleReference"/>
        </w:rPr>
        <w:t>Obtaining satisfactory Proof of Death, and</w:t>
      </w:r>
    </w:p>
    <w:p w14:paraId="5ED20A5E" w14:textId="3270A402" w:rsidR="00013417" w:rsidRPr="009425AE" w:rsidRDefault="00013417" w:rsidP="00134ED4">
      <w:pPr>
        <w:pStyle w:val="ListParagraph"/>
        <w:numPr>
          <w:ilvl w:val="0"/>
          <w:numId w:val="18"/>
        </w:numPr>
        <w:rPr>
          <w:rStyle w:val="SubtleReference"/>
        </w:rPr>
      </w:pPr>
      <w:r w:rsidRPr="009425AE">
        <w:rPr>
          <w:rStyle w:val="SubtleReference"/>
        </w:rPr>
        <w:t>Obtaining satisfactory Proof of Title</w:t>
      </w:r>
    </w:p>
    <w:p w14:paraId="066F5B4B" w14:textId="6B80A947" w:rsidR="00013417" w:rsidRPr="009425AE" w:rsidRDefault="00013417" w:rsidP="00013417">
      <w:pPr>
        <w:pStyle w:val="Subtitle"/>
        <w:rPr>
          <w:rStyle w:val="SubtleReference"/>
        </w:rPr>
      </w:pPr>
      <w:r w:rsidRPr="009425AE">
        <w:rPr>
          <w:rStyle w:val="SubtleReference"/>
          <w:b/>
          <w:bCs/>
        </w:rPr>
        <w:t>3.Accident and Disability Claims</w:t>
      </w:r>
      <w:r w:rsidRPr="009425AE">
        <w:rPr>
          <w:rStyle w:val="SubtleReference"/>
        </w:rPr>
        <w:t xml:space="preserve"> </w:t>
      </w:r>
    </w:p>
    <w:p w14:paraId="3A1748C6" w14:textId="0AA3B8F8" w:rsidR="00134ED4" w:rsidRPr="009425AE" w:rsidRDefault="00134ED4" w:rsidP="00134ED4">
      <w:pPr>
        <w:pStyle w:val="ListParagraph"/>
        <w:numPr>
          <w:ilvl w:val="0"/>
          <w:numId w:val="16"/>
        </w:numPr>
        <w:jc w:val="both"/>
        <w:rPr>
          <w:rStyle w:val="SubtleReference"/>
        </w:rPr>
      </w:pPr>
      <w:r w:rsidRPr="009425AE">
        <w:rPr>
          <w:rStyle w:val="SubtleReference"/>
        </w:rPr>
        <w:t>Death should be due to Accident, i.e.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w:t>
      </w:r>
    </w:p>
    <w:p w14:paraId="4D688019" w14:textId="49DF7F53" w:rsidR="00134ED4" w:rsidRPr="009425AE" w:rsidRDefault="00134ED4" w:rsidP="00134ED4">
      <w:pPr>
        <w:pStyle w:val="ListParagraph"/>
        <w:numPr>
          <w:ilvl w:val="0"/>
          <w:numId w:val="16"/>
        </w:numPr>
        <w:jc w:val="both"/>
        <w:rPr>
          <w:rStyle w:val="SubtleReference"/>
        </w:rPr>
      </w:pPr>
      <w:r w:rsidRPr="009425AE">
        <w:rPr>
          <w:rStyle w:val="SubtleReference"/>
        </w:rPr>
        <w:t>Death should take place within a specific period of time after the accident. Asper the rules of LIC of India, this period is 120 days.</w:t>
      </w:r>
    </w:p>
    <w:p w14:paraId="3A8087EB" w14:textId="7B584B29" w:rsidR="00134ED4" w:rsidRPr="009425AE" w:rsidRDefault="00134ED4" w:rsidP="00134ED4">
      <w:pPr>
        <w:pStyle w:val="ListParagraph"/>
        <w:numPr>
          <w:ilvl w:val="0"/>
          <w:numId w:val="16"/>
        </w:numPr>
        <w:jc w:val="both"/>
        <w:rPr>
          <w:rStyle w:val="SubtleReference"/>
        </w:rPr>
      </w:pPr>
      <w:r w:rsidRPr="009425AE">
        <w:rPr>
          <w:rStyle w:val="SubtleReference"/>
        </w:rPr>
        <w:lastRenderedPageBreak/>
        <w:t xml:space="preserve">Proof satisfactory to the insurance company should be submitted. Usually the requirements called for are (a) First Information Report (b) </w:t>
      </w:r>
      <w:r w:rsidR="00E904EE" w:rsidRPr="009425AE">
        <w:rPr>
          <w:rStyle w:val="SubtleReference"/>
        </w:rPr>
        <w:t>Pachamama</w:t>
      </w:r>
      <w:r w:rsidRPr="009425AE">
        <w:rPr>
          <w:rStyle w:val="SubtleReference"/>
        </w:rPr>
        <w:t xml:space="preserve"> or Police Inquest Report (c) </w:t>
      </w:r>
      <w:r w:rsidR="00E904EE" w:rsidRPr="009425AE">
        <w:rPr>
          <w:rStyle w:val="SubtleReference"/>
        </w:rPr>
        <w:t>Post mortem</w:t>
      </w:r>
      <w:r w:rsidRPr="009425AE">
        <w:rPr>
          <w:rStyle w:val="SubtleReference"/>
        </w:rPr>
        <w:t xml:space="preserve"> Report. If Viscera was sent for Chemical Examination, then the Report of the Forensic Laboratory is also called for. These reports indicate the cause and circumstances of death, whether it is accidental in nature, etc.</w:t>
      </w:r>
    </w:p>
    <w:p w14:paraId="1ABE54EC" w14:textId="01F85779" w:rsidR="00134ED4" w:rsidRPr="009425AE" w:rsidRDefault="00134ED4" w:rsidP="00134ED4">
      <w:pPr>
        <w:pStyle w:val="ListParagraph"/>
        <w:numPr>
          <w:ilvl w:val="0"/>
          <w:numId w:val="16"/>
        </w:numPr>
        <w:jc w:val="both"/>
        <w:rPr>
          <w:rStyle w:val="SubtleReference"/>
        </w:rPr>
      </w:pPr>
      <w:r w:rsidRPr="009425AE">
        <w:rPr>
          <w:rStyle w:val="SubtleReference"/>
        </w:rPr>
        <w:t>The policy must be in full force at the time of death. Policyholder should have availed of the Accident Bene t by paying the necessary additional premium. He must not have been aged 70 years and above at the time of death.</w:t>
      </w:r>
    </w:p>
    <w:p w14:paraId="631A496B" w14:textId="3FD5A3E8" w:rsidR="00134ED4" w:rsidRPr="009425AE" w:rsidRDefault="00134ED4" w:rsidP="00134ED4">
      <w:pPr>
        <w:pStyle w:val="ListParagraph"/>
        <w:numPr>
          <w:ilvl w:val="0"/>
          <w:numId w:val="16"/>
        </w:numPr>
        <w:jc w:val="both"/>
        <w:rPr>
          <w:rStyle w:val="SubtleReference"/>
        </w:rPr>
      </w:pPr>
      <w:r w:rsidRPr="009425AE">
        <w:rPr>
          <w:rStyle w:val="SubtleReference"/>
        </w:rPr>
        <w:t>None of the exclusions should apply for consideration of sanctioning accident bene t in a case. There are also several exclusions in considering granting Accident Bene t. The life assured should not be under the influence of any intoxicating liquor, drug or narcotic at the time of the accident. The accident should not be because of the life assured being engaged in an activity which is a Breach of Law. The accident should not have happened when the life assured is involved in war or war like operations, or when the life assured was flying in an aircraft other</w:t>
      </w:r>
    </w:p>
    <w:p w14:paraId="36291083" w14:textId="70FE47A4" w:rsidR="00013417" w:rsidRPr="009425AE" w:rsidRDefault="00E904EE" w:rsidP="00134ED4">
      <w:pPr>
        <w:pStyle w:val="ListParagraph"/>
        <w:numPr>
          <w:ilvl w:val="0"/>
          <w:numId w:val="16"/>
        </w:numPr>
        <w:jc w:val="both"/>
        <w:rPr>
          <w:rStyle w:val="SubtleReference"/>
        </w:rPr>
      </w:pPr>
      <w:r w:rsidRPr="009425AE">
        <w:rPr>
          <w:rStyle w:val="SubtleReference"/>
        </w:rPr>
        <w:t>THEN</w:t>
      </w:r>
      <w:r w:rsidR="00134ED4" w:rsidRPr="009425AE">
        <w:rPr>
          <w:rStyle w:val="SubtleReference"/>
        </w:rPr>
        <w:t xml:space="preserve"> as a passenger, or in police or police like operations; he must not have been engaged in hazardous sports like car or motor cycle racing, mountaineering, steeple-chasing, hang-gliding, sky-diving, scuba-diving, or the life assured making an attempt to commit </w:t>
      </w:r>
      <w:r w:rsidRPr="009425AE">
        <w:rPr>
          <w:rStyle w:val="SubtleReference"/>
        </w:rPr>
        <w:t>SUICIDE (</w:t>
      </w:r>
      <w:r w:rsidR="00134ED4" w:rsidRPr="009425AE">
        <w:rPr>
          <w:rStyle w:val="SubtleReference"/>
        </w:rPr>
        <w:t>whether sane or not at that time).</w:t>
      </w:r>
    </w:p>
    <w:p w14:paraId="01815445" w14:textId="77777777" w:rsidR="00013417" w:rsidRPr="00013417" w:rsidRDefault="00013417" w:rsidP="00013417"/>
    <w:p w14:paraId="058BC601" w14:textId="77777777" w:rsidR="00BA0AA0" w:rsidRDefault="00EC50E3" w:rsidP="00A36B22">
      <w:pPr>
        <w:pStyle w:val="Subtitle"/>
        <w:rPr>
          <w:b/>
        </w:rPr>
      </w:pPr>
      <w:r w:rsidRPr="002D1C5F">
        <w:rPr>
          <w:b/>
          <w:bCs/>
        </w:rPr>
        <w:t>Ans-8</w:t>
      </w:r>
      <w:r w:rsidRPr="00A36B22">
        <w:rPr>
          <w:b/>
        </w:rPr>
        <w:t xml:space="preserve"> </w:t>
      </w:r>
    </w:p>
    <w:p w14:paraId="7AA1AD81" w14:textId="3C5AE18E" w:rsidR="00EC50E3" w:rsidRPr="00A36B22" w:rsidRDefault="00EC50E3" w:rsidP="00BA0AA0">
      <w:pPr>
        <w:pStyle w:val="Subtitle"/>
        <w:jc w:val="both"/>
      </w:pPr>
      <w:r w:rsidRPr="00A36B22">
        <w:t>A) The requirements for settlement of death claims are as follows:</w:t>
      </w:r>
    </w:p>
    <w:p w14:paraId="278A2A2C" w14:textId="77777777" w:rsidR="00EC50E3" w:rsidRPr="00A36B22" w:rsidRDefault="00EC50E3" w:rsidP="00BA0AA0">
      <w:pPr>
        <w:pStyle w:val="Subtitle"/>
        <w:jc w:val="both"/>
      </w:pPr>
      <w:r w:rsidRPr="00A36B22">
        <w:t xml:space="preserve">1.Obtaining satisfactory Proof of Death, and </w:t>
      </w:r>
    </w:p>
    <w:p w14:paraId="7A809AA5" w14:textId="77777777" w:rsidR="00EC50E3" w:rsidRPr="00A36B22" w:rsidRDefault="00EC50E3" w:rsidP="00BA0AA0">
      <w:pPr>
        <w:pStyle w:val="Subtitle"/>
        <w:jc w:val="both"/>
      </w:pPr>
      <w:r w:rsidRPr="00A36B22">
        <w:t>2.Obtaining satisfactory Proof of Title</w:t>
      </w:r>
    </w:p>
    <w:p w14:paraId="32B9A2C7" w14:textId="77777777" w:rsidR="00EC50E3" w:rsidRPr="00A36B22" w:rsidRDefault="00EC50E3" w:rsidP="00BA0AA0">
      <w:pPr>
        <w:pStyle w:val="Subtitle"/>
        <w:jc w:val="both"/>
      </w:pPr>
      <w:r w:rsidRPr="00A36B22">
        <w:t>B) The requirements for settlement of maturity claims are very simple. They are:</w:t>
      </w:r>
    </w:p>
    <w:p w14:paraId="16A6896F" w14:textId="77777777" w:rsidR="00EC50E3" w:rsidRPr="00A36B22" w:rsidRDefault="00EC50E3" w:rsidP="00BA0AA0">
      <w:pPr>
        <w:pStyle w:val="Subtitle"/>
        <w:jc w:val="both"/>
      </w:pPr>
      <w:r w:rsidRPr="00A36B22">
        <w:t xml:space="preserve"> 1.A Discharge Voucher to be sent in advance </w:t>
      </w:r>
    </w:p>
    <w:p w14:paraId="0DF31256" w14:textId="77777777" w:rsidR="00EC50E3" w:rsidRPr="00A36B22" w:rsidRDefault="00EC50E3" w:rsidP="00BA0AA0">
      <w:pPr>
        <w:pStyle w:val="Subtitle"/>
        <w:jc w:val="both"/>
      </w:pPr>
      <w:r w:rsidRPr="00A36B22">
        <w:t xml:space="preserve">2.Policy Document </w:t>
      </w:r>
    </w:p>
    <w:p w14:paraId="41132AC2" w14:textId="77777777" w:rsidR="00EC50E3" w:rsidRPr="00A36B22" w:rsidRDefault="00EC50E3" w:rsidP="00BA0AA0">
      <w:pPr>
        <w:pStyle w:val="Subtitle"/>
        <w:jc w:val="both"/>
      </w:pPr>
      <w:r w:rsidRPr="00A36B22">
        <w:t>3.Any Deed of Assignment, if the same was executed on a separate Stamp Paper.</w:t>
      </w:r>
    </w:p>
    <w:p w14:paraId="175C3330" w14:textId="77777777" w:rsidR="00EC50E3" w:rsidRPr="00A36B22" w:rsidRDefault="00EC50E3" w:rsidP="00A36B22">
      <w:pPr>
        <w:pStyle w:val="Subtitle"/>
      </w:pPr>
    </w:p>
    <w:p w14:paraId="2D126310" w14:textId="77777777" w:rsidR="00BA0AA0" w:rsidRDefault="00EC50E3" w:rsidP="00A36B22">
      <w:pPr>
        <w:pStyle w:val="Subtitle"/>
        <w:rPr>
          <w:bCs/>
        </w:rPr>
      </w:pPr>
      <w:r w:rsidRPr="002D1C5F">
        <w:rPr>
          <w:b/>
          <w:bCs/>
        </w:rPr>
        <w:t>Ans-</w:t>
      </w:r>
      <w:r w:rsidR="002D1C5F" w:rsidRPr="002D1C5F">
        <w:rPr>
          <w:b/>
          <w:bCs/>
        </w:rPr>
        <w:t>9</w:t>
      </w:r>
      <w:r w:rsidR="002D1C5F" w:rsidRPr="00A36B22">
        <w:rPr>
          <w:bCs/>
        </w:rPr>
        <w:t xml:space="preserve"> </w:t>
      </w:r>
    </w:p>
    <w:p w14:paraId="472482B1" w14:textId="1786E52B" w:rsidR="00EC50E3" w:rsidRPr="00A36B22" w:rsidRDefault="002D1C5F" w:rsidP="00BA0AA0">
      <w:pPr>
        <w:pStyle w:val="Subtitle"/>
        <w:jc w:val="both"/>
      </w:pPr>
      <w:r w:rsidRPr="00A36B22">
        <w:rPr>
          <w:bCs/>
        </w:rPr>
        <w:t>Well</w:t>
      </w:r>
      <w:r w:rsidR="00EC50E3" w:rsidRPr="00A36B22">
        <w:t xml:space="preserve"> defined structure</w:t>
      </w:r>
    </w:p>
    <w:p w14:paraId="5EB69A5D" w14:textId="77777777" w:rsidR="00EC50E3" w:rsidRPr="00A36B22" w:rsidRDefault="00EC50E3" w:rsidP="00BA0AA0">
      <w:pPr>
        <w:pStyle w:val="Subtitle"/>
        <w:jc w:val="both"/>
      </w:pPr>
      <w:r w:rsidRPr="00A36B22">
        <w:t>If all claims management procedure is in place their claims will be solved easily.</w:t>
      </w:r>
    </w:p>
    <w:p w14:paraId="1E4CC85D" w14:textId="62F42D55" w:rsidR="00EC50E3" w:rsidRPr="00A36B22" w:rsidRDefault="00EC50E3" w:rsidP="00BA0AA0">
      <w:pPr>
        <w:pStyle w:val="Subtitle"/>
        <w:jc w:val="both"/>
      </w:pPr>
      <w:r w:rsidRPr="00A36B22">
        <w:t xml:space="preserve">IT system helps in claim management </w:t>
      </w:r>
      <w:r w:rsidR="002D1C5F" w:rsidRPr="00A36B22">
        <w:t>process. Ensuring</w:t>
      </w:r>
      <w:r w:rsidRPr="00A36B22">
        <w:t xml:space="preserve"> no </w:t>
      </w:r>
      <w:r w:rsidR="002D1C5F" w:rsidRPr="00A36B22">
        <w:t>fault</w:t>
      </w:r>
      <w:r w:rsidRPr="00A36B22">
        <w:t xml:space="preserve"> claims, keeping all data together.</w:t>
      </w:r>
    </w:p>
    <w:p w14:paraId="02AF64D1" w14:textId="77777777" w:rsidR="00EC50E3" w:rsidRPr="00A36B22" w:rsidRDefault="00EC50E3" w:rsidP="00BA0AA0">
      <w:pPr>
        <w:pStyle w:val="Subtitle"/>
        <w:jc w:val="both"/>
      </w:pPr>
      <w:r w:rsidRPr="00A36B22">
        <w:t>Working Dept: As per regulations every claim must be cleared/rejected within 30 days from date of giving documents.</w:t>
      </w:r>
    </w:p>
    <w:p w14:paraId="1DBB4EEA" w14:textId="77777777" w:rsidR="00EC50E3" w:rsidRPr="00A36B22" w:rsidRDefault="00EC50E3" w:rsidP="00BA0AA0">
      <w:pPr>
        <w:pStyle w:val="Subtitle"/>
        <w:jc w:val="both"/>
      </w:pPr>
    </w:p>
    <w:p w14:paraId="35CF2833" w14:textId="77777777" w:rsidR="00EC50E3" w:rsidRPr="00A36B22" w:rsidRDefault="00EC50E3" w:rsidP="00BA0AA0">
      <w:pPr>
        <w:pStyle w:val="Subtitle"/>
        <w:jc w:val="both"/>
      </w:pPr>
    </w:p>
    <w:p w14:paraId="02072A97" w14:textId="77777777" w:rsidR="00BA0AA0" w:rsidRDefault="00EC50E3" w:rsidP="00BA0AA0">
      <w:pPr>
        <w:pStyle w:val="Subtitle"/>
        <w:jc w:val="both"/>
        <w:rPr>
          <w:bCs/>
        </w:rPr>
      </w:pPr>
      <w:r w:rsidRPr="002D1C5F">
        <w:rPr>
          <w:b/>
          <w:bCs/>
        </w:rPr>
        <w:t>Ans-</w:t>
      </w:r>
      <w:r w:rsidR="002D1C5F" w:rsidRPr="002D1C5F">
        <w:rPr>
          <w:b/>
          <w:bCs/>
        </w:rPr>
        <w:t>10</w:t>
      </w:r>
      <w:r w:rsidR="002D1C5F" w:rsidRPr="00A36B22">
        <w:rPr>
          <w:bCs/>
        </w:rPr>
        <w:t xml:space="preserve"> </w:t>
      </w:r>
    </w:p>
    <w:p w14:paraId="6745F80E" w14:textId="356F1862" w:rsidR="00EC50E3" w:rsidRPr="00A36B22" w:rsidRDefault="002D1C5F" w:rsidP="00BA0AA0">
      <w:pPr>
        <w:pStyle w:val="Subtitle"/>
        <w:jc w:val="both"/>
      </w:pPr>
      <w:r w:rsidRPr="00A36B22">
        <w:rPr>
          <w:bCs/>
        </w:rPr>
        <w:t>The</w:t>
      </w:r>
      <w:r w:rsidR="00EC50E3" w:rsidRPr="00A36B22">
        <w:t xml:space="preserve"> insurance industry has </w:t>
      </w:r>
      <w:r w:rsidRPr="00A36B22">
        <w:t>grown up</w:t>
      </w:r>
      <w:r w:rsidR="00EC50E3" w:rsidRPr="00A36B22">
        <w:t xml:space="preserve"> to become a veritable institution, with over 6000 insurance companies worldwide collecting $ 800 billion in premiums each year and </w:t>
      </w:r>
      <w:r w:rsidR="00EC50E3" w:rsidRPr="00A36B22">
        <w:lastRenderedPageBreak/>
        <w:t xml:space="preserve">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With the 14 Claim Settlement Notes deregulation of the banking and brokerage industries, large conglomerates have been formed that offer every imaginable nancial service. It is now common for these large corporations to offer a variety of insurance plans. In this regard with a large consumer </w:t>
      </w:r>
      <w:r w:rsidRPr="00A36B22">
        <w:t>base,</w:t>
      </w:r>
      <w:r w:rsidR="00EC50E3" w:rsidRPr="00A36B22">
        <w:t xml:space="preserve"> it becomes necessary for any provider of insurance services to have claims management staff and support systems. With more stringent regulations in place, it will be dif</w:t>
      </w:r>
      <w:r>
        <w:t>fi</w:t>
      </w:r>
      <w:r w:rsidR="00EC50E3" w:rsidRPr="00A36B22">
        <w:t xml:space="preserve">cult for insurance companies to repudiate claims for every other reason. Information technology is helping the insurance companies to manage claims. Many </w:t>
      </w:r>
      <w:r w:rsidRPr="00A36B22">
        <w:t>software</w:t>
      </w:r>
      <w:r w:rsidR="00EC50E3" w:rsidRPr="00A36B22">
        <w:t xml:space="preserve"> for insurance claims </w:t>
      </w:r>
      <w:r w:rsidRPr="00A36B22">
        <w:t>has</w:t>
      </w:r>
      <w:r w:rsidR="00EC50E3" w:rsidRPr="00A36B22">
        <w:t xml:space="preserve"> hit the market. A popular one among them is Claims Management Systems (CMS). It is called Managing, Organizing and Documenting Every Loss (MODEL). This software is developed by Scott Insurance. The highlights are – </w:t>
      </w:r>
    </w:p>
    <w:p w14:paraId="024A0E87" w14:textId="77777777" w:rsidR="00EC50E3" w:rsidRPr="00A36B22" w:rsidRDefault="00EC50E3" w:rsidP="00BA0AA0">
      <w:pPr>
        <w:pStyle w:val="Subtitle"/>
        <w:jc w:val="both"/>
      </w:pPr>
      <w:r w:rsidRPr="00A36B22">
        <w:t xml:space="preserve">1. Automatic completion of state required forms </w:t>
      </w:r>
    </w:p>
    <w:p w14:paraId="6E1BF18F" w14:textId="77777777" w:rsidR="00EC50E3" w:rsidRPr="00A36B22" w:rsidRDefault="00EC50E3" w:rsidP="00BA0AA0">
      <w:pPr>
        <w:pStyle w:val="Subtitle"/>
        <w:jc w:val="both"/>
      </w:pPr>
      <w:r w:rsidRPr="00A36B22">
        <w:t xml:space="preserve">2. Internal claims management training </w:t>
      </w:r>
    </w:p>
    <w:p w14:paraId="410EF4B6" w14:textId="77777777" w:rsidR="00EC50E3" w:rsidRPr="00A36B22" w:rsidRDefault="00EC50E3" w:rsidP="00BA0AA0">
      <w:pPr>
        <w:pStyle w:val="Subtitle"/>
        <w:jc w:val="both"/>
      </w:pPr>
      <w:r w:rsidRPr="00A36B22">
        <w:t xml:space="preserve">3. Adjuster-to-adjuster claims planning and oversight </w:t>
      </w:r>
    </w:p>
    <w:p w14:paraId="75CEBAF6" w14:textId="77777777" w:rsidR="00EC50E3" w:rsidRPr="00A36B22" w:rsidRDefault="00EC50E3" w:rsidP="00BA0AA0">
      <w:pPr>
        <w:pStyle w:val="Subtitle"/>
        <w:jc w:val="both"/>
      </w:pPr>
      <w:r w:rsidRPr="00A36B22">
        <w:t xml:space="preserve">4. Physician-to-physician medical reviews </w:t>
      </w:r>
    </w:p>
    <w:p w14:paraId="16E76F33" w14:textId="77777777" w:rsidR="00EC50E3" w:rsidRPr="00A36B22" w:rsidRDefault="00EC50E3" w:rsidP="00BA0AA0">
      <w:pPr>
        <w:pStyle w:val="Subtitle"/>
        <w:jc w:val="both"/>
      </w:pPr>
      <w:r w:rsidRPr="00A36B22">
        <w:t xml:space="preserve">5. Organization of all information in one place </w:t>
      </w:r>
    </w:p>
    <w:p w14:paraId="47A1A682" w14:textId="77777777" w:rsidR="00EC50E3" w:rsidRPr="00A36B22" w:rsidRDefault="00EC50E3" w:rsidP="00BA0AA0">
      <w:pPr>
        <w:pStyle w:val="Subtitle"/>
        <w:jc w:val="both"/>
      </w:pPr>
      <w:r w:rsidRPr="00A36B22">
        <w:t xml:space="preserve">6. Conversation/event documentation </w:t>
      </w:r>
    </w:p>
    <w:p w14:paraId="1F7D9ECC" w14:textId="77777777" w:rsidR="00EC50E3" w:rsidRPr="00A36B22" w:rsidRDefault="00EC50E3" w:rsidP="00BA0AA0">
      <w:pPr>
        <w:pStyle w:val="Subtitle"/>
        <w:jc w:val="both"/>
      </w:pPr>
      <w:r w:rsidRPr="00A36B22">
        <w:t xml:space="preserve">7. Internal/external claims information communication </w:t>
      </w:r>
    </w:p>
    <w:p w14:paraId="3141BC38" w14:textId="77777777" w:rsidR="00EC50E3" w:rsidRPr="00A36B22" w:rsidRDefault="00EC50E3" w:rsidP="00BA0AA0">
      <w:pPr>
        <w:pStyle w:val="Subtitle"/>
        <w:jc w:val="both"/>
      </w:pPr>
      <w:r w:rsidRPr="00A36B22">
        <w:t xml:space="preserve">8. Progress tracking </w:t>
      </w:r>
    </w:p>
    <w:p w14:paraId="41DE8E74" w14:textId="77777777" w:rsidR="00EC50E3" w:rsidRPr="00A36B22" w:rsidRDefault="00EC50E3" w:rsidP="00BA0AA0">
      <w:pPr>
        <w:pStyle w:val="Subtitle"/>
        <w:jc w:val="both"/>
      </w:pPr>
      <w:r w:rsidRPr="00A36B22">
        <w:t>9. Follow-up for timely return to work, closing or settling claim</w:t>
      </w:r>
    </w:p>
    <w:p w14:paraId="120BD761" w14:textId="77777777" w:rsidR="00EC50E3" w:rsidRPr="00A36B22" w:rsidRDefault="00EC50E3" w:rsidP="00BA0AA0">
      <w:pPr>
        <w:pStyle w:val="Subtitle"/>
        <w:jc w:val="both"/>
      </w:pPr>
    </w:p>
    <w:p w14:paraId="6F4232F2" w14:textId="77777777" w:rsidR="00BA0AA0" w:rsidRDefault="00EC50E3" w:rsidP="00BA0AA0">
      <w:pPr>
        <w:pStyle w:val="Subtitle"/>
        <w:jc w:val="both"/>
        <w:rPr>
          <w:b/>
        </w:rPr>
      </w:pPr>
      <w:r w:rsidRPr="002D1C5F">
        <w:rPr>
          <w:b/>
          <w:bCs/>
        </w:rPr>
        <w:t>Ans-11</w:t>
      </w:r>
      <w:r w:rsidRPr="00A36B22">
        <w:rPr>
          <w:b/>
        </w:rPr>
        <w:t xml:space="preserve"> </w:t>
      </w:r>
    </w:p>
    <w:p w14:paraId="6B52528B" w14:textId="67F9A52A" w:rsidR="00EC50E3" w:rsidRPr="00A36B22" w:rsidRDefault="00EC50E3" w:rsidP="00BA0AA0">
      <w:pPr>
        <w:pStyle w:val="Subtitle"/>
        <w:jc w:val="both"/>
      </w:pPr>
      <w:r w:rsidRPr="00A36B22">
        <w:t xml:space="preserve">We know that during the early years of a policy the premium received by an insurance company surpasses the required amount due to the Level Annual Premium system. </w:t>
      </w:r>
      <w:r w:rsidR="002D1C5F" w:rsidRPr="00A36B22">
        <w:t>Thus,</w:t>
      </w:r>
      <w:r w:rsidRPr="00A36B22">
        <w:t xml:space="preserve">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w:t>
      </w:r>
      <w:r w:rsidR="002D1C5F" w:rsidRPr="00A36B22">
        <w:t>Thus,</w:t>
      </w:r>
      <w:r w:rsidRPr="00A36B22">
        <w:t xml:space="preserve"> 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w:t>
      </w:r>
    </w:p>
    <w:p w14:paraId="50358213" w14:textId="77777777" w:rsidR="00EC50E3" w:rsidRPr="00A36B22" w:rsidRDefault="00EC50E3" w:rsidP="00BA0AA0">
      <w:pPr>
        <w:pStyle w:val="Subtitle"/>
        <w:jc w:val="both"/>
      </w:pPr>
    </w:p>
    <w:p w14:paraId="500713DB" w14:textId="77777777" w:rsidR="00BA0AA0" w:rsidRDefault="00EC50E3" w:rsidP="00BA0AA0">
      <w:pPr>
        <w:pStyle w:val="Subtitle"/>
        <w:jc w:val="both"/>
      </w:pPr>
      <w:r w:rsidRPr="002D1C5F">
        <w:rPr>
          <w:b/>
          <w:bCs/>
        </w:rPr>
        <w:t>Ans-12</w:t>
      </w:r>
      <w:r w:rsidRPr="00A36B22">
        <w:t xml:space="preserve"> </w:t>
      </w:r>
    </w:p>
    <w:p w14:paraId="2FCBFC2E" w14:textId="59A953F7" w:rsidR="00EC50E3" w:rsidRPr="00A36B22" w:rsidRDefault="00EC50E3" w:rsidP="00BA0AA0">
      <w:pPr>
        <w:pStyle w:val="Subtitle"/>
        <w:jc w:val="both"/>
      </w:pPr>
      <w:r w:rsidRPr="00A36B22">
        <w:t xml:space="preserve">It becomes essential to determine whether this premium accumulated is on same lines as calculated </w:t>
      </w:r>
      <w:r w:rsidR="002D1C5F" w:rsidRPr="00A36B22">
        <w:t>premium. This</w:t>
      </w:r>
      <w:r w:rsidRPr="00A36B22">
        <w:t xml:space="preserve"> enables company in determining </w:t>
      </w:r>
      <w:r w:rsidR="002D1C5F" w:rsidRPr="00A36B22">
        <w:t>its</w:t>
      </w:r>
      <w:r w:rsidRPr="00A36B22">
        <w:t xml:space="preserve"> </w:t>
      </w:r>
      <w:r w:rsidR="002D1C5F" w:rsidRPr="00A36B22">
        <w:t>solvency. Thus,</w:t>
      </w:r>
      <w:r w:rsidRPr="00A36B22">
        <w:t xml:space="preserve"> actuarial valuation is necessary.</w:t>
      </w:r>
    </w:p>
    <w:p w14:paraId="3F962C0E" w14:textId="77777777" w:rsidR="00EC50E3" w:rsidRPr="00A36B22" w:rsidRDefault="00EC50E3" w:rsidP="00BA0AA0">
      <w:pPr>
        <w:pStyle w:val="Subtitle"/>
        <w:jc w:val="both"/>
        <w:rPr>
          <w:b/>
        </w:rPr>
      </w:pPr>
    </w:p>
    <w:p w14:paraId="7CC14F33" w14:textId="77777777" w:rsidR="00BA0AA0" w:rsidRDefault="00EC50E3" w:rsidP="00BA0AA0">
      <w:pPr>
        <w:pStyle w:val="Subtitle"/>
        <w:jc w:val="both"/>
        <w:rPr>
          <w:rFonts w:cstheme="minorHAnsi"/>
          <w:bCs/>
        </w:rPr>
      </w:pPr>
      <w:r w:rsidRPr="002D1C5F">
        <w:rPr>
          <w:rFonts w:cstheme="minorHAnsi"/>
          <w:b/>
          <w:bCs/>
        </w:rPr>
        <w:t>Ans-</w:t>
      </w:r>
      <w:r w:rsidR="002D1C5F" w:rsidRPr="002D1C5F">
        <w:rPr>
          <w:rFonts w:cstheme="minorHAnsi"/>
          <w:b/>
          <w:bCs/>
        </w:rPr>
        <w:t>13</w:t>
      </w:r>
      <w:r w:rsidR="002D1C5F" w:rsidRPr="00A36B22">
        <w:rPr>
          <w:rFonts w:cstheme="minorHAnsi"/>
          <w:bCs/>
        </w:rPr>
        <w:t xml:space="preserve"> </w:t>
      </w:r>
    </w:p>
    <w:p w14:paraId="7F24E987" w14:textId="3A918C54" w:rsidR="00EC50E3" w:rsidRPr="00A36B22" w:rsidRDefault="002D1C5F" w:rsidP="00BA0AA0">
      <w:pPr>
        <w:pStyle w:val="Subtitle"/>
        <w:jc w:val="both"/>
      </w:pPr>
      <w:r w:rsidRPr="00A36B22">
        <w:rPr>
          <w:rFonts w:cs="Tahoma"/>
        </w:rPr>
        <w:lastRenderedPageBreak/>
        <w:t>In</w:t>
      </w:r>
      <w:r w:rsidR="00EC50E3" w:rsidRPr="00A36B22">
        <w:t xml:space="preserve"> life insurance the word ‘</w:t>
      </w:r>
      <w:r w:rsidRPr="00A36B22">
        <w:t>surplus</w:t>
      </w:r>
      <w:r>
        <w:t>’</w:t>
      </w:r>
      <w:r w:rsidR="00EC50E3" w:rsidRPr="00A36B22">
        <w:t xml:space="preserve"> </w:t>
      </w:r>
      <w:r w:rsidRPr="00A36B22">
        <w:t>signify</w:t>
      </w:r>
      <w:r w:rsidR="00EC50E3" w:rsidRPr="00A36B22">
        <w:t xml:space="preserve"> an estimated profit. This is because the calculation of profit in insurance business is slightly different from other businesses. We all know that normally profit is the excess over the cost price of a product. </w:t>
      </w:r>
      <w:r w:rsidRPr="00A36B22">
        <w:t>Thus,</w:t>
      </w:r>
      <w:r w:rsidR="00EC50E3" w:rsidRPr="00A36B22">
        <w:t xml:space="preserve">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 </w:t>
      </w:r>
      <w:r w:rsidRPr="00A36B22">
        <w:t>Likewise,</w:t>
      </w:r>
      <w:r w:rsidR="00EC50E3" w:rsidRPr="00A36B22">
        <w:t xml:space="preserve"> if the actual experience of the insurer is the same as the projected value at the time of premium </w:t>
      </w:r>
      <w:r w:rsidRPr="00A36B22">
        <w:t>calculations,</w:t>
      </w:r>
      <w:r w:rsidR="00EC50E3" w:rsidRPr="00A36B22">
        <w:t xml:space="preserve"> then the difference between the liability of the insurer and the life fund is considered as profit achieved on the basis of margin provided while calculating premium.</w:t>
      </w:r>
    </w:p>
    <w:p w14:paraId="461FD515" w14:textId="77777777" w:rsidR="00EC50E3" w:rsidRPr="00A36B22" w:rsidRDefault="00EC50E3" w:rsidP="00BA0AA0">
      <w:pPr>
        <w:pStyle w:val="Subtitle"/>
        <w:jc w:val="both"/>
        <w:rPr>
          <w:bCs/>
        </w:rPr>
      </w:pPr>
    </w:p>
    <w:p w14:paraId="1C51672C" w14:textId="77777777" w:rsidR="00BA0AA0" w:rsidRDefault="00EC50E3" w:rsidP="00BA0AA0">
      <w:pPr>
        <w:pStyle w:val="Subtitle"/>
        <w:jc w:val="both"/>
        <w:rPr>
          <w:rFonts w:cstheme="minorHAnsi"/>
          <w:b/>
          <w:bCs/>
        </w:rPr>
      </w:pPr>
      <w:r w:rsidRPr="002D1C5F">
        <w:rPr>
          <w:rFonts w:cstheme="minorHAnsi"/>
          <w:b/>
          <w:bCs/>
        </w:rPr>
        <w:t>Ans-14</w:t>
      </w:r>
    </w:p>
    <w:p w14:paraId="4E3E55FA" w14:textId="1F084BD2" w:rsidR="00EC50E3" w:rsidRPr="00A36B22" w:rsidRDefault="00EC50E3" w:rsidP="00BA0AA0">
      <w:pPr>
        <w:pStyle w:val="Subtitle"/>
        <w:jc w:val="both"/>
      </w:pPr>
      <w:r w:rsidRPr="00A36B22">
        <w:rPr>
          <w:rFonts w:cstheme="minorHAnsi"/>
          <w:b/>
        </w:rPr>
        <w:t xml:space="preserve"> </w:t>
      </w:r>
      <w:r w:rsidRPr="00A36B22">
        <w:t>Contribution Method: This is also called as fair distribution, but is an impractical method of surplus distribution. According to this method distribution is directly based on the contribution of the policies to the surplus accumulated from basic sources like interest, expenses, mortality etc.</w:t>
      </w:r>
    </w:p>
    <w:p w14:paraId="48753F5F" w14:textId="10E5FBA1" w:rsidR="00EC50E3" w:rsidRPr="00A36B22" w:rsidRDefault="00EC50E3" w:rsidP="00BA0AA0">
      <w:pPr>
        <w:pStyle w:val="Subtitle"/>
        <w:jc w:val="both"/>
      </w:pPr>
      <w:r w:rsidRPr="00A36B22">
        <w:t xml:space="preserve"> Simple Reversionary Method: In this method the bonus is paid in addition to the sum insured, when the event for which insurance is provided occurs, that is death during the term of the policy, or on maturity of the policy. </w:t>
      </w:r>
      <w:r w:rsidR="002D1C5F" w:rsidRPr="00A36B22">
        <w:t>Therefore,</w:t>
      </w:r>
      <w:r w:rsidRPr="00A36B22">
        <w:t xml:space="preserve"> it is termed as reversionary. It is a popular method as it allows the insurer to retain the surplus enabling him to earn interests on it. It also gives an incentive to policyholders to maintain their policies. </w:t>
      </w:r>
      <w:r w:rsidR="002D1C5F" w:rsidRPr="00A36B22">
        <w:t>Furthermore,</w:t>
      </w:r>
      <w:r w:rsidRPr="00A36B22">
        <w:t xml:space="preserve"> it is a very simple procedure. </w:t>
      </w:r>
    </w:p>
    <w:p w14:paraId="550CFA66" w14:textId="77777777" w:rsidR="00EC50E3" w:rsidRPr="00A36B22" w:rsidRDefault="00EC50E3" w:rsidP="00BA0AA0">
      <w:pPr>
        <w:pStyle w:val="Subtitle"/>
        <w:jc w:val="both"/>
      </w:pPr>
      <w:r w:rsidRPr="00A36B22">
        <w:t xml:space="preserve">Compound Reversionary Bonus System: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14:paraId="6DEF018E" w14:textId="77777777" w:rsidR="00EC50E3" w:rsidRPr="00A36B22" w:rsidRDefault="00EC50E3" w:rsidP="00BA0AA0">
      <w:pPr>
        <w:pStyle w:val="Subtitle"/>
        <w:jc w:val="both"/>
      </w:pPr>
      <w:r w:rsidRPr="00A36B22">
        <w:t>Bonus in Cash: In this method the bonus announced is paid in the form of cash to the policyholders.</w:t>
      </w:r>
    </w:p>
    <w:p w14:paraId="051B9103" w14:textId="536F4AEB" w:rsidR="00EC50E3" w:rsidRPr="00A36B22" w:rsidRDefault="00EC50E3" w:rsidP="00BA0AA0">
      <w:pPr>
        <w:pStyle w:val="Subtitle"/>
        <w:jc w:val="both"/>
      </w:pPr>
      <w:r w:rsidRPr="00A36B22">
        <w:t xml:space="preserve"> Bonus in Reduction of Premium: In this method the bonus is reduced from the premium payable by the policyholders to the company. But after a certain </w:t>
      </w:r>
      <w:r w:rsidR="002D1C5F" w:rsidRPr="00A36B22">
        <w:t>period,</w:t>
      </w:r>
      <w:r w:rsidRPr="00A36B22">
        <w:t xml:space="preserve">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14:paraId="0D96CD46" w14:textId="77777777" w:rsidR="00EC50E3" w:rsidRPr="00A36B22" w:rsidRDefault="00EC50E3" w:rsidP="00BA0AA0">
      <w:pPr>
        <w:pStyle w:val="Subtitle"/>
        <w:jc w:val="both"/>
      </w:pPr>
      <w:r w:rsidRPr="00A36B22">
        <w:t>Tontine Bonus: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favour this method, as it enables them to conserve their resources and 9 Actuarial Valuation Notes also removes the need to distribute surplus in early stages.</w:t>
      </w:r>
    </w:p>
    <w:p w14:paraId="6D4DBE35" w14:textId="77777777" w:rsidR="00EC50E3" w:rsidRPr="00A36B22" w:rsidRDefault="00EC50E3" w:rsidP="00BA0AA0">
      <w:pPr>
        <w:pStyle w:val="Subtitle"/>
        <w:jc w:val="both"/>
      </w:pPr>
      <w:r w:rsidRPr="00A36B22">
        <w:t xml:space="preserve"> Interim Bonus: In this the bonuses are announced on the basis of valuation of all the policies at the date of valuation. If some policies result in claim (in case of death) or maturity before the next valuation then they are not eligible for that bonus, as by then </w:t>
      </w:r>
      <w:r w:rsidRPr="00A36B22">
        <w:lastRenderedPageBreak/>
        <w:t xml:space="preserve">they will not be part of the company records, but an interim bonus according to the previous valuation is provided. </w:t>
      </w:r>
    </w:p>
    <w:p w14:paraId="5A86F7E8" w14:textId="77777777" w:rsidR="00EC50E3" w:rsidRPr="00A36B22" w:rsidRDefault="00EC50E3" w:rsidP="00BA0AA0">
      <w:pPr>
        <w:pStyle w:val="Subtitle"/>
        <w:jc w:val="both"/>
      </w:pPr>
      <w:r w:rsidRPr="00A36B22">
        <w:t>Guaranteed Bonus: This method is applicable for without profit policies, which are not entitled to surplus of actuarial valuation. In this process there is guaranteed addition of bonus at a fixed rate for every year, to the sum assured, as long as the policy is in force.</w:t>
      </w:r>
    </w:p>
    <w:p w14:paraId="06E1547B" w14:textId="77777777" w:rsidR="00EC50E3" w:rsidRPr="00A36B22" w:rsidRDefault="00EC50E3" w:rsidP="00BA0AA0">
      <w:pPr>
        <w:pStyle w:val="Subtitle"/>
        <w:jc w:val="both"/>
      </w:pPr>
      <w:r w:rsidRPr="00A36B22">
        <w:t>Final Additional Bonus: 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Life insurance Corporation of India was following this process, provided the policies were in force at the time of claim or maturity, along with prior payment of 15 years premium</w:t>
      </w:r>
    </w:p>
    <w:p w14:paraId="0D7293F5" w14:textId="77777777" w:rsidR="00EC50E3" w:rsidRPr="00A36B22" w:rsidRDefault="00EC50E3" w:rsidP="00BA0AA0">
      <w:pPr>
        <w:pStyle w:val="Subtitle"/>
        <w:jc w:val="both"/>
      </w:pPr>
    </w:p>
    <w:p w14:paraId="7C9C3A02" w14:textId="77777777" w:rsidR="00BA0AA0" w:rsidRDefault="00EC50E3" w:rsidP="00BA0AA0">
      <w:pPr>
        <w:pStyle w:val="Subtitle"/>
        <w:jc w:val="both"/>
        <w:rPr>
          <w:b/>
          <w:bCs/>
        </w:rPr>
      </w:pPr>
      <w:r w:rsidRPr="002D1C5F">
        <w:rPr>
          <w:b/>
          <w:bCs/>
        </w:rPr>
        <w:t>Ans-15</w:t>
      </w:r>
    </w:p>
    <w:p w14:paraId="7FA2C3FD" w14:textId="79EFB914" w:rsidR="00EC50E3" w:rsidRPr="00A36B22" w:rsidRDefault="00EC50E3" w:rsidP="00BA0AA0">
      <w:pPr>
        <w:pStyle w:val="Subtitle"/>
        <w:jc w:val="both"/>
        <w:rPr>
          <w:rFonts w:cs="Tahoma"/>
        </w:rPr>
      </w:pPr>
      <w:r w:rsidRPr="00A36B22">
        <w:t xml:space="preserve"> Going back to a situation when the actual experience is better than the projected, the profit achieved is not only due to the margin kept during valuation of premiums but is also the profit arising as a result of favourable experience up to the time of valuation. This situation may arise when the life </w:t>
      </w:r>
      <w:r w:rsidR="002D1C5F" w:rsidRPr="00A36B22">
        <w:t>funds</w:t>
      </w:r>
      <w:r w:rsidRPr="00A36B22">
        <w:t xml:space="preserve">, which is an accumulation of the excess premiums after settling the claims for that year. As a result of favourable circumstances claims are few, so the expenses are reduced, hence the outgo from the company is less. In an insurance business the actual profit cannot be determined, as the company is to meet future liabilities and has to receive premiums in future. </w:t>
      </w:r>
      <w:r w:rsidR="002D1C5F" w:rsidRPr="00A36B22">
        <w:t>Furthermore,</w:t>
      </w:r>
      <w:r w:rsidRPr="00A36B22">
        <w:t xml:space="preserve"> the excess of assets that remains after settling current liabilities cannot be termed as ‘profit’ as it will be required to meet the liabilities in future. </w:t>
      </w:r>
      <w:r w:rsidR="002D1C5F" w:rsidRPr="00A36B22">
        <w:t>Thus,</w:t>
      </w:r>
      <w:r w:rsidRPr="00A36B22">
        <w:t xml:space="preserve"> it is very difficult for a life insurance company to declare the profit made at the end of a year. It is possible to declare profits only if the company closes its new business procuration operations, after which it should have met the liabilities to the last policy. After this the funds left with the company can be considered as profit.</w:t>
      </w:r>
    </w:p>
    <w:p w14:paraId="2245C4A3" w14:textId="77777777" w:rsidR="00EC50E3" w:rsidRPr="00A36B22" w:rsidRDefault="00EC50E3" w:rsidP="00EC50E3">
      <w:pPr>
        <w:ind w:left="45"/>
        <w:rPr>
          <w:sz w:val="24"/>
          <w:szCs w:val="24"/>
        </w:rPr>
      </w:pPr>
    </w:p>
    <w:p w14:paraId="69956147" w14:textId="77777777" w:rsidR="00EC50E3" w:rsidRPr="00A36B22" w:rsidRDefault="00EC50E3" w:rsidP="00EC50E3">
      <w:pPr>
        <w:ind w:left="45"/>
        <w:rPr>
          <w:sz w:val="24"/>
          <w:szCs w:val="24"/>
        </w:rPr>
      </w:pPr>
    </w:p>
    <w:p w14:paraId="09659FF0" w14:textId="22C1C63F" w:rsidR="001678EB" w:rsidRPr="00A36B22" w:rsidRDefault="001678EB" w:rsidP="001678EB">
      <w:pPr>
        <w:pStyle w:val="ListParagraph"/>
        <w:ind w:left="0"/>
        <w:rPr>
          <w:color w:val="595959" w:themeColor="text1" w:themeTint="A6"/>
          <w:sz w:val="24"/>
          <w:szCs w:val="24"/>
        </w:rPr>
      </w:pPr>
    </w:p>
    <w:sectPr w:rsidR="001678EB" w:rsidRPr="00A36B22" w:rsidSect="008152E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497B" w14:textId="77777777" w:rsidR="009731C0" w:rsidRDefault="009731C0" w:rsidP="008152E3">
      <w:pPr>
        <w:spacing w:after="0" w:line="240" w:lineRule="auto"/>
      </w:pPr>
      <w:r>
        <w:separator/>
      </w:r>
    </w:p>
  </w:endnote>
  <w:endnote w:type="continuationSeparator" w:id="0">
    <w:p w14:paraId="2720CF43" w14:textId="77777777" w:rsidR="009731C0" w:rsidRDefault="009731C0" w:rsidP="0081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8E3A" w14:textId="77777777" w:rsidR="009731C0" w:rsidRDefault="009731C0" w:rsidP="008152E3">
      <w:pPr>
        <w:spacing w:after="0" w:line="240" w:lineRule="auto"/>
      </w:pPr>
      <w:r>
        <w:separator/>
      </w:r>
    </w:p>
  </w:footnote>
  <w:footnote w:type="continuationSeparator" w:id="0">
    <w:p w14:paraId="7FE6C71A" w14:textId="77777777" w:rsidR="009731C0" w:rsidRDefault="009731C0" w:rsidP="00815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0"/>
    <w:multiLevelType w:val="hybridMultilevel"/>
    <w:tmpl w:val="DAA204F0"/>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 w15:restartNumberingAfterBreak="0">
    <w:nsid w:val="0B9D48FA"/>
    <w:multiLevelType w:val="hybridMultilevel"/>
    <w:tmpl w:val="42B0C128"/>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F7413A"/>
    <w:multiLevelType w:val="hybridMultilevel"/>
    <w:tmpl w:val="266A2B7E"/>
    <w:lvl w:ilvl="0" w:tplc="4684AD78">
      <w:start w:val="1"/>
      <w:numFmt w:val="lowerRoman"/>
      <w:lvlText w:val="%1."/>
      <w:lvlJc w:val="left"/>
      <w:pPr>
        <w:ind w:left="1584"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BF4DD3"/>
    <w:multiLevelType w:val="hybridMultilevel"/>
    <w:tmpl w:val="4E601B98"/>
    <w:lvl w:ilvl="0" w:tplc="4684AD78">
      <w:start w:val="1"/>
      <w:numFmt w:val="lowerRoman"/>
      <w:lvlText w:val="%1."/>
      <w:lvlJc w:val="left"/>
      <w:pPr>
        <w:ind w:left="1584" w:hanging="720"/>
      </w:pPr>
      <w:rPr>
        <w:rFonts w:hint="default"/>
      </w:rPr>
    </w:lvl>
    <w:lvl w:ilvl="1" w:tplc="40090019" w:tentative="1">
      <w:start w:val="1"/>
      <w:numFmt w:val="lowerLetter"/>
      <w:lvlText w:val="%2."/>
      <w:lvlJc w:val="left"/>
      <w:pPr>
        <w:ind w:left="1944" w:hanging="360"/>
      </w:pPr>
    </w:lvl>
    <w:lvl w:ilvl="2" w:tplc="4009001B" w:tentative="1">
      <w:start w:val="1"/>
      <w:numFmt w:val="lowerRoman"/>
      <w:lvlText w:val="%3."/>
      <w:lvlJc w:val="right"/>
      <w:pPr>
        <w:ind w:left="2664" w:hanging="180"/>
      </w:pPr>
    </w:lvl>
    <w:lvl w:ilvl="3" w:tplc="4009000F" w:tentative="1">
      <w:start w:val="1"/>
      <w:numFmt w:val="decimal"/>
      <w:lvlText w:val="%4."/>
      <w:lvlJc w:val="left"/>
      <w:pPr>
        <w:ind w:left="3384" w:hanging="360"/>
      </w:pPr>
    </w:lvl>
    <w:lvl w:ilvl="4" w:tplc="40090019" w:tentative="1">
      <w:start w:val="1"/>
      <w:numFmt w:val="lowerLetter"/>
      <w:lvlText w:val="%5."/>
      <w:lvlJc w:val="left"/>
      <w:pPr>
        <w:ind w:left="4104" w:hanging="360"/>
      </w:pPr>
    </w:lvl>
    <w:lvl w:ilvl="5" w:tplc="4009001B" w:tentative="1">
      <w:start w:val="1"/>
      <w:numFmt w:val="lowerRoman"/>
      <w:lvlText w:val="%6."/>
      <w:lvlJc w:val="right"/>
      <w:pPr>
        <w:ind w:left="4824" w:hanging="180"/>
      </w:pPr>
    </w:lvl>
    <w:lvl w:ilvl="6" w:tplc="4009000F" w:tentative="1">
      <w:start w:val="1"/>
      <w:numFmt w:val="decimal"/>
      <w:lvlText w:val="%7."/>
      <w:lvlJc w:val="left"/>
      <w:pPr>
        <w:ind w:left="5544" w:hanging="360"/>
      </w:pPr>
    </w:lvl>
    <w:lvl w:ilvl="7" w:tplc="40090019" w:tentative="1">
      <w:start w:val="1"/>
      <w:numFmt w:val="lowerLetter"/>
      <w:lvlText w:val="%8."/>
      <w:lvlJc w:val="left"/>
      <w:pPr>
        <w:ind w:left="6264" w:hanging="360"/>
      </w:pPr>
    </w:lvl>
    <w:lvl w:ilvl="8" w:tplc="4009001B" w:tentative="1">
      <w:start w:val="1"/>
      <w:numFmt w:val="lowerRoman"/>
      <w:lvlText w:val="%9."/>
      <w:lvlJc w:val="right"/>
      <w:pPr>
        <w:ind w:left="6984" w:hanging="180"/>
      </w:pPr>
    </w:lvl>
  </w:abstractNum>
  <w:abstractNum w:abstractNumId="4" w15:restartNumberingAfterBreak="0">
    <w:nsid w:val="22AA1E39"/>
    <w:multiLevelType w:val="hybridMultilevel"/>
    <w:tmpl w:val="0906ABF6"/>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0234"/>
    <w:multiLevelType w:val="hybridMultilevel"/>
    <w:tmpl w:val="04FEDF5A"/>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1658E2"/>
    <w:multiLevelType w:val="hybridMultilevel"/>
    <w:tmpl w:val="F9666762"/>
    <w:lvl w:ilvl="0" w:tplc="40090015">
      <w:start w:val="1"/>
      <w:numFmt w:val="upperLetter"/>
      <w:lvlText w:val="%1."/>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B13476"/>
    <w:multiLevelType w:val="hybridMultilevel"/>
    <w:tmpl w:val="868080A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CA1619"/>
    <w:multiLevelType w:val="hybridMultilevel"/>
    <w:tmpl w:val="CB647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FC360F1"/>
    <w:multiLevelType w:val="hybridMultilevel"/>
    <w:tmpl w:val="909A0410"/>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18290E"/>
    <w:multiLevelType w:val="hybridMultilevel"/>
    <w:tmpl w:val="38CEAACE"/>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1B67997"/>
    <w:multiLevelType w:val="hybridMultilevel"/>
    <w:tmpl w:val="972E4C32"/>
    <w:lvl w:ilvl="0" w:tplc="40090001">
      <w:start w:val="1"/>
      <w:numFmt w:val="bullet"/>
      <w:lvlText w:val=""/>
      <w:lvlJc w:val="left"/>
      <w:rPr>
        <w:rFonts w:ascii="Symbol" w:hAnsi="Symbol" w:hint="default"/>
      </w:rPr>
    </w:lvl>
    <w:lvl w:ilvl="1" w:tplc="40090003" w:tentative="1">
      <w:start w:val="1"/>
      <w:numFmt w:val="bullet"/>
      <w:lvlText w:val="o"/>
      <w:lvlJc w:val="left"/>
      <w:pPr>
        <w:ind w:left="1799" w:hanging="360"/>
      </w:pPr>
      <w:rPr>
        <w:rFonts w:ascii="Courier New" w:hAnsi="Courier New" w:cs="Courier New" w:hint="default"/>
      </w:rPr>
    </w:lvl>
    <w:lvl w:ilvl="2" w:tplc="40090005" w:tentative="1">
      <w:start w:val="1"/>
      <w:numFmt w:val="bullet"/>
      <w:lvlText w:val=""/>
      <w:lvlJc w:val="left"/>
      <w:pPr>
        <w:ind w:left="2519" w:hanging="360"/>
      </w:pPr>
      <w:rPr>
        <w:rFonts w:ascii="Wingdings" w:hAnsi="Wingdings" w:hint="default"/>
      </w:rPr>
    </w:lvl>
    <w:lvl w:ilvl="3" w:tplc="40090001" w:tentative="1">
      <w:start w:val="1"/>
      <w:numFmt w:val="bullet"/>
      <w:lvlText w:val=""/>
      <w:lvlJc w:val="left"/>
      <w:pPr>
        <w:ind w:left="3239" w:hanging="360"/>
      </w:pPr>
      <w:rPr>
        <w:rFonts w:ascii="Symbol" w:hAnsi="Symbol" w:hint="default"/>
      </w:rPr>
    </w:lvl>
    <w:lvl w:ilvl="4" w:tplc="40090003" w:tentative="1">
      <w:start w:val="1"/>
      <w:numFmt w:val="bullet"/>
      <w:lvlText w:val="o"/>
      <w:lvlJc w:val="left"/>
      <w:pPr>
        <w:ind w:left="3959" w:hanging="360"/>
      </w:pPr>
      <w:rPr>
        <w:rFonts w:ascii="Courier New" w:hAnsi="Courier New" w:cs="Courier New" w:hint="default"/>
      </w:rPr>
    </w:lvl>
    <w:lvl w:ilvl="5" w:tplc="40090005" w:tentative="1">
      <w:start w:val="1"/>
      <w:numFmt w:val="bullet"/>
      <w:lvlText w:val=""/>
      <w:lvlJc w:val="left"/>
      <w:pPr>
        <w:ind w:left="4679" w:hanging="360"/>
      </w:pPr>
      <w:rPr>
        <w:rFonts w:ascii="Wingdings" w:hAnsi="Wingdings" w:hint="default"/>
      </w:rPr>
    </w:lvl>
    <w:lvl w:ilvl="6" w:tplc="40090001" w:tentative="1">
      <w:start w:val="1"/>
      <w:numFmt w:val="bullet"/>
      <w:lvlText w:val=""/>
      <w:lvlJc w:val="left"/>
      <w:pPr>
        <w:ind w:left="5399" w:hanging="360"/>
      </w:pPr>
      <w:rPr>
        <w:rFonts w:ascii="Symbol" w:hAnsi="Symbol" w:hint="default"/>
      </w:rPr>
    </w:lvl>
    <w:lvl w:ilvl="7" w:tplc="40090003" w:tentative="1">
      <w:start w:val="1"/>
      <w:numFmt w:val="bullet"/>
      <w:lvlText w:val="o"/>
      <w:lvlJc w:val="left"/>
      <w:pPr>
        <w:ind w:left="6119" w:hanging="360"/>
      </w:pPr>
      <w:rPr>
        <w:rFonts w:ascii="Courier New" w:hAnsi="Courier New" w:cs="Courier New" w:hint="default"/>
      </w:rPr>
    </w:lvl>
    <w:lvl w:ilvl="8" w:tplc="40090005" w:tentative="1">
      <w:start w:val="1"/>
      <w:numFmt w:val="bullet"/>
      <w:lvlText w:val=""/>
      <w:lvlJc w:val="left"/>
      <w:pPr>
        <w:ind w:left="6839" w:hanging="360"/>
      </w:pPr>
      <w:rPr>
        <w:rFonts w:ascii="Wingdings" w:hAnsi="Wingdings" w:hint="default"/>
      </w:rPr>
    </w:lvl>
  </w:abstractNum>
  <w:abstractNum w:abstractNumId="12" w15:restartNumberingAfterBreak="0">
    <w:nsid w:val="6504263A"/>
    <w:multiLevelType w:val="hybridMultilevel"/>
    <w:tmpl w:val="245E75FA"/>
    <w:lvl w:ilvl="0" w:tplc="40090001">
      <w:start w:val="1"/>
      <w:numFmt w:val="bullet"/>
      <w:lvlText w:val=""/>
      <w:lvlJc w:val="left"/>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6A91B97"/>
    <w:multiLevelType w:val="hybridMultilevel"/>
    <w:tmpl w:val="33967772"/>
    <w:lvl w:ilvl="0" w:tplc="40090015">
      <w:start w:val="1"/>
      <w:numFmt w:val="upperLetter"/>
      <w:lvlText w:val="%1."/>
      <w:lvlJc w:val="left"/>
      <w:pPr>
        <w:ind w:left="1572" w:hanging="360"/>
      </w:pPr>
    </w:lvl>
    <w:lvl w:ilvl="1" w:tplc="40090019" w:tentative="1">
      <w:start w:val="1"/>
      <w:numFmt w:val="lowerLetter"/>
      <w:lvlText w:val="%2."/>
      <w:lvlJc w:val="left"/>
      <w:pPr>
        <w:ind w:left="2292" w:hanging="360"/>
      </w:p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abstractNum w:abstractNumId="14" w15:restartNumberingAfterBreak="0">
    <w:nsid w:val="68B8321E"/>
    <w:multiLevelType w:val="hybridMultilevel"/>
    <w:tmpl w:val="E8AC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97B6B97"/>
    <w:multiLevelType w:val="hybridMultilevel"/>
    <w:tmpl w:val="63FAC9D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66C540D"/>
    <w:multiLevelType w:val="hybridMultilevel"/>
    <w:tmpl w:val="46848DF6"/>
    <w:lvl w:ilvl="0" w:tplc="40090001">
      <w:start w:val="1"/>
      <w:numFmt w:val="bullet"/>
      <w:lvlText w:val=""/>
      <w:lvlJc w:val="left"/>
      <w:pPr>
        <w:ind w:left="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9840A2"/>
    <w:multiLevelType w:val="hybridMultilevel"/>
    <w:tmpl w:val="716A8776"/>
    <w:lvl w:ilvl="0" w:tplc="40090001">
      <w:start w:val="1"/>
      <w:numFmt w:val="bullet"/>
      <w:lvlText w:val=""/>
      <w:lvlJc w:val="left"/>
      <w:rPr>
        <w:rFonts w:ascii="Symbol" w:hAnsi="Symbol" w:hint="default"/>
      </w:rPr>
    </w:lvl>
    <w:lvl w:ilvl="1" w:tplc="40090003" w:tentative="1">
      <w:start w:val="1"/>
      <w:numFmt w:val="bullet"/>
      <w:lvlText w:val="o"/>
      <w:lvlJc w:val="left"/>
      <w:pPr>
        <w:ind w:left="4319" w:hanging="360"/>
      </w:pPr>
      <w:rPr>
        <w:rFonts w:ascii="Courier New" w:hAnsi="Courier New" w:cs="Courier New" w:hint="default"/>
      </w:rPr>
    </w:lvl>
    <w:lvl w:ilvl="2" w:tplc="40090005" w:tentative="1">
      <w:start w:val="1"/>
      <w:numFmt w:val="bullet"/>
      <w:lvlText w:val=""/>
      <w:lvlJc w:val="left"/>
      <w:pPr>
        <w:ind w:left="5039" w:hanging="360"/>
      </w:pPr>
      <w:rPr>
        <w:rFonts w:ascii="Wingdings" w:hAnsi="Wingdings" w:hint="default"/>
      </w:rPr>
    </w:lvl>
    <w:lvl w:ilvl="3" w:tplc="40090001" w:tentative="1">
      <w:start w:val="1"/>
      <w:numFmt w:val="bullet"/>
      <w:lvlText w:val=""/>
      <w:lvlJc w:val="left"/>
      <w:pPr>
        <w:ind w:left="5759" w:hanging="360"/>
      </w:pPr>
      <w:rPr>
        <w:rFonts w:ascii="Symbol" w:hAnsi="Symbol" w:hint="default"/>
      </w:rPr>
    </w:lvl>
    <w:lvl w:ilvl="4" w:tplc="40090003" w:tentative="1">
      <w:start w:val="1"/>
      <w:numFmt w:val="bullet"/>
      <w:lvlText w:val="o"/>
      <w:lvlJc w:val="left"/>
      <w:pPr>
        <w:ind w:left="6479" w:hanging="360"/>
      </w:pPr>
      <w:rPr>
        <w:rFonts w:ascii="Courier New" w:hAnsi="Courier New" w:cs="Courier New" w:hint="default"/>
      </w:rPr>
    </w:lvl>
    <w:lvl w:ilvl="5" w:tplc="40090005" w:tentative="1">
      <w:start w:val="1"/>
      <w:numFmt w:val="bullet"/>
      <w:lvlText w:val=""/>
      <w:lvlJc w:val="left"/>
      <w:pPr>
        <w:ind w:left="7199" w:hanging="360"/>
      </w:pPr>
      <w:rPr>
        <w:rFonts w:ascii="Wingdings" w:hAnsi="Wingdings" w:hint="default"/>
      </w:rPr>
    </w:lvl>
    <w:lvl w:ilvl="6" w:tplc="40090001" w:tentative="1">
      <w:start w:val="1"/>
      <w:numFmt w:val="bullet"/>
      <w:lvlText w:val=""/>
      <w:lvlJc w:val="left"/>
      <w:pPr>
        <w:ind w:left="7919" w:hanging="360"/>
      </w:pPr>
      <w:rPr>
        <w:rFonts w:ascii="Symbol" w:hAnsi="Symbol" w:hint="default"/>
      </w:rPr>
    </w:lvl>
    <w:lvl w:ilvl="7" w:tplc="40090003" w:tentative="1">
      <w:start w:val="1"/>
      <w:numFmt w:val="bullet"/>
      <w:lvlText w:val="o"/>
      <w:lvlJc w:val="left"/>
      <w:pPr>
        <w:ind w:left="8639" w:hanging="360"/>
      </w:pPr>
      <w:rPr>
        <w:rFonts w:ascii="Courier New" w:hAnsi="Courier New" w:cs="Courier New" w:hint="default"/>
      </w:rPr>
    </w:lvl>
    <w:lvl w:ilvl="8" w:tplc="40090005" w:tentative="1">
      <w:start w:val="1"/>
      <w:numFmt w:val="bullet"/>
      <w:lvlText w:val=""/>
      <w:lvlJc w:val="left"/>
      <w:pPr>
        <w:ind w:left="9359" w:hanging="360"/>
      </w:pPr>
      <w:rPr>
        <w:rFonts w:ascii="Wingdings" w:hAnsi="Wingdings" w:hint="default"/>
      </w:rPr>
    </w:lvl>
  </w:abstractNum>
  <w:num w:numId="1">
    <w:abstractNumId w:val="15"/>
  </w:num>
  <w:num w:numId="2">
    <w:abstractNumId w:val="14"/>
  </w:num>
  <w:num w:numId="3">
    <w:abstractNumId w:val="16"/>
  </w:num>
  <w:num w:numId="4">
    <w:abstractNumId w:val="4"/>
  </w:num>
  <w:num w:numId="5">
    <w:abstractNumId w:val="7"/>
  </w:num>
  <w:num w:numId="6">
    <w:abstractNumId w:val="13"/>
  </w:num>
  <w:num w:numId="7">
    <w:abstractNumId w:val="6"/>
  </w:num>
  <w:num w:numId="8">
    <w:abstractNumId w:val="3"/>
  </w:num>
  <w:num w:numId="9">
    <w:abstractNumId w:val="10"/>
  </w:num>
  <w:num w:numId="10">
    <w:abstractNumId w:val="2"/>
  </w:num>
  <w:num w:numId="11">
    <w:abstractNumId w:val="17"/>
  </w:num>
  <w:num w:numId="12">
    <w:abstractNumId w:val="0"/>
  </w:num>
  <w:num w:numId="13">
    <w:abstractNumId w:val="9"/>
  </w:num>
  <w:num w:numId="14">
    <w:abstractNumId w:val="1"/>
  </w:num>
  <w:num w:numId="15">
    <w:abstractNumId w:val="12"/>
  </w:num>
  <w:num w:numId="16">
    <w:abstractNumId w:val="5"/>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01"/>
    <w:rsid w:val="00002432"/>
    <w:rsid w:val="00013417"/>
    <w:rsid w:val="00023E74"/>
    <w:rsid w:val="00027444"/>
    <w:rsid w:val="00032EB2"/>
    <w:rsid w:val="000A0DE6"/>
    <w:rsid w:val="000A58DA"/>
    <w:rsid w:val="00115197"/>
    <w:rsid w:val="00124D26"/>
    <w:rsid w:val="00131793"/>
    <w:rsid w:val="001328EC"/>
    <w:rsid w:val="00134ED4"/>
    <w:rsid w:val="001678EB"/>
    <w:rsid w:val="002145EC"/>
    <w:rsid w:val="00221521"/>
    <w:rsid w:val="002412CE"/>
    <w:rsid w:val="002D1C5F"/>
    <w:rsid w:val="002F4A38"/>
    <w:rsid w:val="00304DE2"/>
    <w:rsid w:val="00310E3D"/>
    <w:rsid w:val="0033094F"/>
    <w:rsid w:val="0033253B"/>
    <w:rsid w:val="003C429A"/>
    <w:rsid w:val="004054F0"/>
    <w:rsid w:val="00411E89"/>
    <w:rsid w:val="00413665"/>
    <w:rsid w:val="00445AD1"/>
    <w:rsid w:val="004461BA"/>
    <w:rsid w:val="00450269"/>
    <w:rsid w:val="004508D6"/>
    <w:rsid w:val="004552AC"/>
    <w:rsid w:val="00473DE2"/>
    <w:rsid w:val="004B51B9"/>
    <w:rsid w:val="005078E5"/>
    <w:rsid w:val="00536F9F"/>
    <w:rsid w:val="005378E7"/>
    <w:rsid w:val="00586930"/>
    <w:rsid w:val="006332BE"/>
    <w:rsid w:val="0066751D"/>
    <w:rsid w:val="0067593D"/>
    <w:rsid w:val="00700E46"/>
    <w:rsid w:val="00724574"/>
    <w:rsid w:val="00780AE1"/>
    <w:rsid w:val="008152E3"/>
    <w:rsid w:val="00934842"/>
    <w:rsid w:val="009425AE"/>
    <w:rsid w:val="00951CCC"/>
    <w:rsid w:val="00955677"/>
    <w:rsid w:val="00967D9B"/>
    <w:rsid w:val="009731C0"/>
    <w:rsid w:val="00996A05"/>
    <w:rsid w:val="009A1931"/>
    <w:rsid w:val="009D3FC8"/>
    <w:rsid w:val="00A36B22"/>
    <w:rsid w:val="00AA63BD"/>
    <w:rsid w:val="00AA74A4"/>
    <w:rsid w:val="00AB58E9"/>
    <w:rsid w:val="00BA0AA0"/>
    <w:rsid w:val="00BB4606"/>
    <w:rsid w:val="00C05D01"/>
    <w:rsid w:val="00CA1B19"/>
    <w:rsid w:val="00CB6953"/>
    <w:rsid w:val="00CE2E2B"/>
    <w:rsid w:val="00CE4E37"/>
    <w:rsid w:val="00D90408"/>
    <w:rsid w:val="00DB4F6A"/>
    <w:rsid w:val="00DB7BAE"/>
    <w:rsid w:val="00E7716C"/>
    <w:rsid w:val="00E904EE"/>
    <w:rsid w:val="00EC50E3"/>
    <w:rsid w:val="00F07C74"/>
    <w:rsid w:val="00F5100D"/>
    <w:rsid w:val="00F60C2B"/>
    <w:rsid w:val="00F747C4"/>
    <w:rsid w:val="00FA4837"/>
    <w:rsid w:val="00FB719A"/>
    <w:rsid w:val="00FE5D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294F"/>
  <w15:chartTrackingRefBased/>
  <w15:docId w15:val="{EF64963E-4705-49DF-808E-304D1C2B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E89"/>
    <w:pPr>
      <w:ind w:left="720"/>
      <w:contextualSpacing/>
    </w:pPr>
  </w:style>
  <w:style w:type="paragraph" w:styleId="Header">
    <w:name w:val="header"/>
    <w:basedOn w:val="Normal"/>
    <w:link w:val="HeaderChar"/>
    <w:uiPriority w:val="99"/>
    <w:unhideWhenUsed/>
    <w:rsid w:val="00815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E3"/>
  </w:style>
  <w:style w:type="paragraph" w:styleId="Footer">
    <w:name w:val="footer"/>
    <w:basedOn w:val="Normal"/>
    <w:link w:val="FooterChar"/>
    <w:uiPriority w:val="99"/>
    <w:unhideWhenUsed/>
    <w:rsid w:val="00815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2E3"/>
  </w:style>
  <w:style w:type="paragraph" w:styleId="NoSpacing">
    <w:name w:val="No Spacing"/>
    <w:link w:val="NoSpacingChar"/>
    <w:uiPriority w:val="1"/>
    <w:qFormat/>
    <w:rsid w:val="008152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152E3"/>
    <w:rPr>
      <w:rFonts w:eastAsiaTheme="minorEastAsia"/>
      <w:lang w:val="en-US"/>
    </w:rPr>
  </w:style>
  <w:style w:type="character" w:styleId="Hyperlink">
    <w:name w:val="Hyperlink"/>
    <w:basedOn w:val="DefaultParagraphFont"/>
    <w:uiPriority w:val="99"/>
    <w:unhideWhenUsed/>
    <w:rsid w:val="000A0DE6"/>
    <w:rPr>
      <w:color w:val="6B9F25" w:themeColor="hyperlink"/>
      <w:u w:val="single"/>
    </w:rPr>
  </w:style>
  <w:style w:type="character" w:styleId="UnresolvedMention">
    <w:name w:val="Unresolved Mention"/>
    <w:basedOn w:val="DefaultParagraphFont"/>
    <w:uiPriority w:val="99"/>
    <w:semiHidden/>
    <w:unhideWhenUsed/>
    <w:rsid w:val="000A0DE6"/>
    <w:rPr>
      <w:color w:val="605E5C"/>
      <w:shd w:val="clear" w:color="auto" w:fill="E1DFDD"/>
    </w:rPr>
  </w:style>
  <w:style w:type="paragraph" w:styleId="Subtitle">
    <w:name w:val="Subtitle"/>
    <w:basedOn w:val="Normal"/>
    <w:next w:val="Normal"/>
    <w:link w:val="SubtitleChar"/>
    <w:uiPriority w:val="11"/>
    <w:qFormat/>
    <w:rsid w:val="00A36B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6B22"/>
    <w:rPr>
      <w:rFonts w:eastAsiaTheme="minorEastAsia"/>
      <w:color w:val="5A5A5A" w:themeColor="text1" w:themeTint="A5"/>
      <w:spacing w:val="15"/>
    </w:rPr>
  </w:style>
  <w:style w:type="character" w:styleId="SubtleReference">
    <w:name w:val="Subtle Reference"/>
    <w:basedOn w:val="DefaultParagraphFont"/>
    <w:uiPriority w:val="31"/>
    <w:qFormat/>
    <w:rsid w:val="009425A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50337F95F44840AFBC48F465E674F9"/>
        <w:category>
          <w:name w:val="General"/>
          <w:gallery w:val="placeholder"/>
        </w:category>
        <w:types>
          <w:type w:val="bbPlcHdr"/>
        </w:types>
        <w:behaviors>
          <w:behavior w:val="content"/>
        </w:behaviors>
        <w:guid w:val="{4DDA9EF9-9734-4051-8C79-DF0E282DE102}"/>
      </w:docPartPr>
      <w:docPartBody>
        <w:p w:rsidR="00C432A2" w:rsidRDefault="00DC5B15" w:rsidP="00DC5B15">
          <w:pPr>
            <w:pStyle w:val="EA50337F95F44840AFBC48F465E674F9"/>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15"/>
    <w:rsid w:val="00397971"/>
    <w:rsid w:val="00607659"/>
    <w:rsid w:val="0068624B"/>
    <w:rsid w:val="00702C3C"/>
    <w:rsid w:val="00C432A2"/>
    <w:rsid w:val="00DC5B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0337F95F44840AFBC48F465E674F9">
    <w:name w:val="EA50337F95F44840AFBC48F465E674F9"/>
    <w:rsid w:val="00DC5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2022-01-21T00:00:00</PublishDate>
  <Abstract/>
  <CompanyAddress>FIRST YEAR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D113E4-08E2-47F1-9E60-55849D12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Life INSURANCE ASSIGNMENT-2</vt:lpstr>
    </vt:vector>
  </TitlesOfParts>
  <Company>jainam JAIN (ROLL NO.31)</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ASSIGNMENT-2</dc:title>
  <dc:subject/>
  <dc:creator>Jainam Jain</dc:creator>
  <cp:keywords/>
  <dc:description/>
  <cp:lastModifiedBy>Jainam Jain</cp:lastModifiedBy>
  <cp:revision>14</cp:revision>
  <dcterms:created xsi:type="dcterms:W3CDTF">2022-01-21T06:57:00Z</dcterms:created>
  <dcterms:modified xsi:type="dcterms:W3CDTF">2022-01-25T11:04:00Z</dcterms:modified>
</cp:coreProperties>
</file>