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47BD6" w14:textId="4B513C7D" w:rsidR="00D21E12" w:rsidRPr="00064A20" w:rsidRDefault="00A1581C" w:rsidP="00A1581C">
      <w:pPr>
        <w:rPr>
          <w:rFonts w:cstheme="minorHAnsi"/>
        </w:rPr>
      </w:pPr>
      <w:r w:rsidRPr="00064A20">
        <w:rPr>
          <w:rFonts w:cstheme="minorHAnsi"/>
          <w:b/>
          <w:bCs/>
        </w:rPr>
        <w:t>Q1.</w:t>
      </w:r>
      <w:r w:rsidR="00CB1A7E" w:rsidRPr="00064A20">
        <w:rPr>
          <w:rFonts w:cstheme="minorHAnsi"/>
          <w:b/>
          <w:bCs/>
        </w:rPr>
        <w:t>i)</w:t>
      </w:r>
      <w:r w:rsidR="00CB1A7E" w:rsidRPr="00064A20">
        <w:rPr>
          <w:rFonts w:cstheme="minorHAnsi"/>
        </w:rPr>
        <w:t xml:space="preserve"> </w:t>
      </w:r>
      <w:r w:rsidRPr="00064A20">
        <w:rPr>
          <w:rFonts w:cstheme="minorHAnsi"/>
        </w:rPr>
        <w:t>Equities are usually analyzed in industry groupings because equity analysts often specialize in an industry and confine their research and advice to the relative merits of companies within that industrial group. The main reasons why this is so fall under two headings:</w:t>
      </w:r>
    </w:p>
    <w:p w14:paraId="1AB071CB" w14:textId="77777777" w:rsidR="00A1581C" w:rsidRPr="00064A20" w:rsidRDefault="00A1581C" w:rsidP="00A1581C">
      <w:pPr>
        <w:pStyle w:val="ListParagraph"/>
        <w:numPr>
          <w:ilvl w:val="0"/>
          <w:numId w:val="1"/>
        </w:numPr>
        <w:rPr>
          <w:rFonts w:cstheme="minorHAnsi"/>
        </w:rPr>
      </w:pPr>
      <w:r w:rsidRPr="00064A20">
        <w:rPr>
          <w:rFonts w:cstheme="minorHAnsi"/>
          <w:b/>
          <w:bCs/>
        </w:rPr>
        <w:t>Practicality</w:t>
      </w:r>
      <w:r w:rsidRPr="00064A20">
        <w:rPr>
          <w:rFonts w:cstheme="minorHAnsi"/>
        </w:rPr>
        <w:t xml:space="preserve"> - It is sensible for investment analysts to specialize within particular industrial sectors because: </w:t>
      </w:r>
    </w:p>
    <w:p w14:paraId="67F610E0" w14:textId="77777777" w:rsidR="00A1581C" w:rsidRPr="00064A20" w:rsidRDefault="00A1581C" w:rsidP="00A1581C">
      <w:pPr>
        <w:pStyle w:val="ListParagraph"/>
        <w:ind w:left="1080"/>
        <w:rPr>
          <w:rFonts w:cstheme="minorHAnsi"/>
        </w:rPr>
      </w:pPr>
      <w:r w:rsidRPr="00064A20">
        <w:rPr>
          <w:rFonts w:cstheme="minorHAnsi"/>
        </w:rPr>
        <w:t xml:space="preserve">• The factors affecting one company within an industry are likely to be relevant to other companies in the same industry. </w:t>
      </w:r>
    </w:p>
    <w:p w14:paraId="1D31CC7A" w14:textId="77777777" w:rsidR="00A1581C" w:rsidRPr="00064A20" w:rsidRDefault="00A1581C" w:rsidP="00A1581C">
      <w:pPr>
        <w:pStyle w:val="ListParagraph"/>
        <w:ind w:left="1080"/>
        <w:rPr>
          <w:rFonts w:cstheme="minorHAnsi"/>
        </w:rPr>
      </w:pPr>
      <w:r w:rsidRPr="00064A20">
        <w:rPr>
          <w:rFonts w:cstheme="minorHAnsi"/>
        </w:rPr>
        <w:t xml:space="preserve">• Much of the information for companies in the same industry will come from a common source and will be presented in a similar way. </w:t>
      </w:r>
    </w:p>
    <w:p w14:paraId="3A18C7AF" w14:textId="071032C6" w:rsidR="00A1581C" w:rsidRPr="00064A20" w:rsidRDefault="00A1581C" w:rsidP="00A1581C">
      <w:pPr>
        <w:pStyle w:val="ListParagraph"/>
        <w:ind w:left="1080"/>
        <w:rPr>
          <w:rFonts w:cstheme="minorHAnsi"/>
        </w:rPr>
      </w:pPr>
      <w:r w:rsidRPr="00064A20">
        <w:rPr>
          <w:rFonts w:cstheme="minorHAnsi"/>
        </w:rPr>
        <w:t>• No single analyst can expect to be an expert in all areas. so, specialization is appropriate. The grouping of equities according to some common factor gives structure to the decision-making process. It assists in portfolio classification and management</w:t>
      </w:r>
    </w:p>
    <w:p w14:paraId="29293694" w14:textId="16702909" w:rsidR="00A1581C" w:rsidRPr="00064A20" w:rsidRDefault="00A1581C" w:rsidP="00A1581C">
      <w:pPr>
        <w:pStyle w:val="ListParagraph"/>
        <w:numPr>
          <w:ilvl w:val="0"/>
          <w:numId w:val="1"/>
        </w:numPr>
        <w:rPr>
          <w:rFonts w:cstheme="minorHAnsi"/>
        </w:rPr>
      </w:pPr>
      <w:r w:rsidRPr="00064A20">
        <w:rPr>
          <w:rFonts w:cstheme="minorHAnsi"/>
          <w:b/>
          <w:bCs/>
        </w:rPr>
        <w:t>Correlation of investment performance</w:t>
      </w:r>
      <w:r w:rsidRPr="00064A20">
        <w:rPr>
          <w:rFonts w:cstheme="minorHAnsi"/>
        </w:rPr>
        <w:t xml:space="preserve"> - Research has shown that after overall market movements have been taken into consideration, the share price movements of companies within industrial groupings tend to correlate more closely with each other than with companies in other industries. The share price movements reflect the changes that have occurred in the operating environment. Such changes affect companies in individual industries in similar ways. Factors affecting one company in a sector that will probably be relevant to other companies in the same sector include resources, markets and structure. As there is a degree of correlation between the shares of companies in the same sector, investment managers construct their equity portfolios so that there is a good spread between sectors.</w:t>
      </w:r>
    </w:p>
    <w:p w14:paraId="0B1C6EAA" w14:textId="30C78B81" w:rsidR="005612D8" w:rsidRPr="00064A20" w:rsidRDefault="00131D47" w:rsidP="005612D8">
      <w:pPr>
        <w:pStyle w:val="NoSpacing"/>
        <w:rPr>
          <w:rFonts w:cstheme="minorHAnsi"/>
        </w:rPr>
      </w:pPr>
      <w:r w:rsidRPr="00064A20">
        <w:rPr>
          <w:rFonts w:cstheme="minorHAnsi"/>
          <w:b/>
          <w:bCs/>
        </w:rPr>
        <w:t>i</w:t>
      </w:r>
      <w:r w:rsidR="00DF00AF" w:rsidRPr="00064A20">
        <w:rPr>
          <w:rFonts w:cstheme="minorHAnsi"/>
          <w:b/>
          <w:bCs/>
        </w:rPr>
        <w:t>i</w:t>
      </w:r>
      <w:r w:rsidRPr="00064A20">
        <w:rPr>
          <w:rFonts w:cstheme="minorHAnsi"/>
          <w:b/>
          <w:bCs/>
        </w:rPr>
        <w:t>.</w:t>
      </w:r>
      <w:r w:rsidR="005612D8" w:rsidRPr="00064A20">
        <w:rPr>
          <w:rFonts w:cstheme="minorHAnsi"/>
          <w:b/>
          <w:bCs/>
        </w:rPr>
        <w:t>a</w:t>
      </w:r>
      <w:r w:rsidR="00DF00AF" w:rsidRPr="00064A20">
        <w:rPr>
          <w:rFonts w:cstheme="minorHAnsi"/>
          <w:b/>
          <w:bCs/>
        </w:rPr>
        <w:t>)</w:t>
      </w:r>
      <w:r w:rsidR="00DF00AF" w:rsidRPr="00064A20">
        <w:rPr>
          <w:rFonts w:cstheme="minorHAnsi"/>
        </w:rPr>
        <w:t xml:space="preserve"> </w:t>
      </w:r>
      <w:r w:rsidR="005612D8" w:rsidRPr="00064A20">
        <w:rPr>
          <w:rFonts w:cstheme="minorHAnsi"/>
          <w:b/>
          <w:bCs/>
        </w:rPr>
        <w:t xml:space="preserve">advantages of industry grouping – </w:t>
      </w:r>
      <w:r w:rsidR="005612D8" w:rsidRPr="00064A20">
        <w:rPr>
          <w:rFonts w:cstheme="minorHAnsi"/>
        </w:rPr>
        <w:t>one can become</w:t>
      </w:r>
      <w:r w:rsidR="005612D8" w:rsidRPr="00064A20">
        <w:rPr>
          <w:rFonts w:cstheme="minorHAnsi"/>
          <w:b/>
          <w:bCs/>
        </w:rPr>
        <w:t xml:space="preserve"> </w:t>
      </w:r>
      <w:r w:rsidR="005612D8" w:rsidRPr="00064A20">
        <w:rPr>
          <w:rFonts w:cstheme="minorHAnsi"/>
        </w:rPr>
        <w:t>expert in one sector and understand it really well.</w:t>
      </w:r>
    </w:p>
    <w:p w14:paraId="7DD0DFF7" w14:textId="373CD3D2" w:rsidR="005612D8" w:rsidRPr="00064A20" w:rsidRDefault="005612D8" w:rsidP="00CB1A7E">
      <w:pPr>
        <w:rPr>
          <w:rFonts w:cstheme="minorHAnsi"/>
        </w:rPr>
      </w:pPr>
      <w:r w:rsidRPr="00064A20">
        <w:rPr>
          <w:rFonts w:cstheme="minorHAnsi"/>
        </w:rPr>
        <w:t>Industry grouping can help a person decide which factors can affect which industry’s share price.</w:t>
      </w:r>
    </w:p>
    <w:p w14:paraId="7157C68F" w14:textId="7186D3A3" w:rsidR="005612D8" w:rsidRPr="00064A20" w:rsidRDefault="005612D8" w:rsidP="005612D8">
      <w:pPr>
        <w:pStyle w:val="NoSpacing"/>
        <w:rPr>
          <w:rFonts w:cstheme="minorHAnsi"/>
        </w:rPr>
      </w:pPr>
      <w:r w:rsidRPr="00064A20">
        <w:rPr>
          <w:rFonts w:cstheme="minorHAnsi"/>
          <w:b/>
          <w:bCs/>
        </w:rPr>
        <w:t>Disadvantages of industry grouping</w:t>
      </w:r>
      <w:r w:rsidRPr="00064A20">
        <w:rPr>
          <w:rFonts w:cstheme="minorHAnsi"/>
        </w:rPr>
        <w:t xml:space="preserve"> – industry grouping does allow one to diversify their portfolio whereas one should consider shares from different sectors so that their portfolio is much more diversified rather than concentrating on one sector.</w:t>
      </w:r>
    </w:p>
    <w:p w14:paraId="5C720EB9" w14:textId="051145F2" w:rsidR="005612D8" w:rsidRPr="00064A20" w:rsidRDefault="005612D8" w:rsidP="005612D8">
      <w:pPr>
        <w:pStyle w:val="NoSpacing"/>
        <w:rPr>
          <w:rFonts w:cstheme="minorHAnsi"/>
        </w:rPr>
      </w:pPr>
      <w:r w:rsidRPr="00064A20">
        <w:rPr>
          <w:rFonts w:cstheme="minorHAnsi"/>
        </w:rPr>
        <w:t>Sometimes some share does not move with their industry.</w:t>
      </w:r>
    </w:p>
    <w:p w14:paraId="2BA35A62" w14:textId="3410EF82" w:rsidR="00CB1A7E" w:rsidRPr="00064A20" w:rsidRDefault="00E51A3C" w:rsidP="003066B8">
      <w:pPr>
        <w:pStyle w:val="NoSpacing"/>
        <w:rPr>
          <w:rFonts w:cstheme="minorHAnsi"/>
        </w:rPr>
      </w:pPr>
      <w:proofErr w:type="spellStart"/>
      <w:r w:rsidRPr="00064A20">
        <w:rPr>
          <w:rFonts w:cstheme="minorHAnsi"/>
          <w:b/>
          <w:bCs/>
        </w:rPr>
        <w:t>ii.b</w:t>
      </w:r>
      <w:proofErr w:type="spellEnd"/>
      <w:r w:rsidRPr="00064A20">
        <w:rPr>
          <w:rFonts w:cstheme="minorHAnsi"/>
          <w:b/>
          <w:bCs/>
        </w:rPr>
        <w:t>)</w:t>
      </w:r>
      <w:r w:rsidRPr="00064A20">
        <w:rPr>
          <w:rFonts w:cstheme="minorHAnsi"/>
        </w:rPr>
        <w:t xml:space="preserve"> </w:t>
      </w:r>
      <w:r w:rsidR="003066B8" w:rsidRPr="00064A20">
        <w:rPr>
          <w:rFonts w:cstheme="minorHAnsi"/>
        </w:rPr>
        <w:t>large cap/ small cap – valuations tend to reflect growth/maturity/financial strengths differently for small and large cap stocks.</w:t>
      </w:r>
    </w:p>
    <w:p w14:paraId="11603D00" w14:textId="352DF08B" w:rsidR="003066B8" w:rsidRPr="00064A20" w:rsidRDefault="003066B8" w:rsidP="003066B8">
      <w:pPr>
        <w:pStyle w:val="NoSpacing"/>
        <w:rPr>
          <w:rFonts w:cstheme="minorHAnsi"/>
        </w:rPr>
      </w:pPr>
      <w:r w:rsidRPr="00064A20">
        <w:rPr>
          <w:rFonts w:cstheme="minorHAnsi"/>
        </w:rPr>
        <w:t>Growth/value – reflect the different universes and economic market drivers operating on these companies</w:t>
      </w:r>
    </w:p>
    <w:p w14:paraId="3E71D0D9" w14:textId="57152D90" w:rsidR="003066B8" w:rsidRPr="00064A20" w:rsidRDefault="003066B8" w:rsidP="003066B8">
      <w:pPr>
        <w:pStyle w:val="NoSpacing"/>
        <w:rPr>
          <w:rFonts w:cstheme="minorHAnsi"/>
        </w:rPr>
      </w:pPr>
    </w:p>
    <w:p w14:paraId="6281D4B6" w14:textId="77777777" w:rsidR="008973E6" w:rsidRPr="00064A20" w:rsidRDefault="008973E6" w:rsidP="003066B8">
      <w:pPr>
        <w:pStyle w:val="NoSpacing"/>
        <w:rPr>
          <w:rFonts w:cstheme="minorHAnsi"/>
        </w:rPr>
      </w:pPr>
    </w:p>
    <w:p w14:paraId="7AAECA7C" w14:textId="79C03EEA" w:rsidR="003D0E10" w:rsidRPr="00064A20" w:rsidRDefault="003D0E10" w:rsidP="00CB1A7E">
      <w:pPr>
        <w:rPr>
          <w:rFonts w:cstheme="minorHAnsi"/>
        </w:rPr>
      </w:pPr>
      <w:r w:rsidRPr="00064A20">
        <w:rPr>
          <w:rFonts w:cstheme="minorHAnsi"/>
          <w:b/>
          <w:bCs/>
        </w:rPr>
        <w:t xml:space="preserve">Q2) </w:t>
      </w:r>
      <w:r w:rsidRPr="00064A20">
        <w:rPr>
          <w:rFonts w:cstheme="minorHAnsi"/>
        </w:rPr>
        <w:t>An investment index represents the relative changes in the share prices of the constituent companies or stocks which make up the index. Investment indices have a wide variety of uses in investment and asset management. There are many investment indices in use throughout the world, with each index having its own particular purpose and use. Each index will be constructed using certain eligibility criteria to determine the constituent companies from time to time and the criteria used:</w:t>
      </w:r>
    </w:p>
    <w:p w14:paraId="5F3A964F" w14:textId="445F4234" w:rsidR="003D0E10" w:rsidRPr="00064A20" w:rsidRDefault="003066B8" w:rsidP="003D0E10">
      <w:pPr>
        <w:pStyle w:val="ListParagraph"/>
        <w:numPr>
          <w:ilvl w:val="0"/>
          <w:numId w:val="3"/>
        </w:numPr>
        <w:rPr>
          <w:rFonts w:cstheme="minorHAnsi"/>
        </w:rPr>
      </w:pPr>
      <w:r w:rsidRPr="00064A20">
        <w:rPr>
          <w:rFonts w:cstheme="minorHAnsi"/>
        </w:rPr>
        <w:t>Purpose of index</w:t>
      </w:r>
    </w:p>
    <w:p w14:paraId="157BA986" w14:textId="3D2BE1D6" w:rsidR="003066B8" w:rsidRPr="00064A20" w:rsidRDefault="003066B8" w:rsidP="003D0E10">
      <w:pPr>
        <w:pStyle w:val="ListParagraph"/>
        <w:numPr>
          <w:ilvl w:val="0"/>
          <w:numId w:val="3"/>
        </w:numPr>
        <w:rPr>
          <w:rFonts w:cstheme="minorHAnsi"/>
        </w:rPr>
      </w:pPr>
      <w:r w:rsidRPr="00064A20">
        <w:rPr>
          <w:rFonts w:cstheme="minorHAnsi"/>
        </w:rPr>
        <w:t>Constituents and basis for inclusion/exclusion</w:t>
      </w:r>
    </w:p>
    <w:p w14:paraId="5783AE46" w14:textId="1350F90A" w:rsidR="003066B8" w:rsidRPr="00064A20" w:rsidRDefault="003066B8" w:rsidP="003D0E10">
      <w:pPr>
        <w:pStyle w:val="ListParagraph"/>
        <w:numPr>
          <w:ilvl w:val="0"/>
          <w:numId w:val="3"/>
        </w:numPr>
        <w:rPr>
          <w:rFonts w:cstheme="minorHAnsi"/>
        </w:rPr>
      </w:pPr>
      <w:r w:rsidRPr="00064A20">
        <w:rPr>
          <w:rFonts w:cstheme="minorHAnsi"/>
        </w:rPr>
        <w:t>Type of index</w:t>
      </w:r>
    </w:p>
    <w:p w14:paraId="246EB4D9" w14:textId="507A093B" w:rsidR="003066B8" w:rsidRPr="00064A20" w:rsidRDefault="003066B8" w:rsidP="003D0E10">
      <w:pPr>
        <w:pStyle w:val="ListParagraph"/>
        <w:numPr>
          <w:ilvl w:val="0"/>
          <w:numId w:val="3"/>
        </w:numPr>
        <w:rPr>
          <w:rFonts w:cstheme="minorHAnsi"/>
        </w:rPr>
      </w:pPr>
      <w:r w:rsidRPr="00064A20">
        <w:rPr>
          <w:rFonts w:cstheme="minorHAnsi"/>
        </w:rPr>
        <w:lastRenderedPageBreak/>
        <w:t>Frequency of calculation</w:t>
      </w:r>
    </w:p>
    <w:p w14:paraId="74C0EA6E" w14:textId="6C700383" w:rsidR="003066B8" w:rsidRPr="00064A20" w:rsidRDefault="003066B8" w:rsidP="003D0E10">
      <w:pPr>
        <w:pStyle w:val="ListParagraph"/>
        <w:numPr>
          <w:ilvl w:val="0"/>
          <w:numId w:val="3"/>
        </w:numPr>
        <w:rPr>
          <w:rFonts w:cstheme="minorHAnsi"/>
        </w:rPr>
      </w:pPr>
      <w:r w:rsidRPr="00064A20">
        <w:rPr>
          <w:rFonts w:cstheme="minorHAnsi"/>
        </w:rPr>
        <w:t xml:space="preserve">Price data to use </w:t>
      </w:r>
    </w:p>
    <w:p w14:paraId="20439966" w14:textId="060B06EA" w:rsidR="003066B8" w:rsidRPr="00064A20" w:rsidRDefault="003066B8" w:rsidP="003D0E10">
      <w:pPr>
        <w:pStyle w:val="ListParagraph"/>
        <w:numPr>
          <w:ilvl w:val="0"/>
          <w:numId w:val="3"/>
        </w:numPr>
        <w:rPr>
          <w:rFonts w:cstheme="minorHAnsi"/>
        </w:rPr>
      </w:pPr>
      <w:r w:rsidRPr="00064A20">
        <w:rPr>
          <w:rFonts w:cstheme="minorHAnsi"/>
        </w:rPr>
        <w:t>How to deal with capital changes</w:t>
      </w:r>
    </w:p>
    <w:p w14:paraId="11446441" w14:textId="0837D9F5" w:rsidR="003D0E10" w:rsidRPr="00064A20" w:rsidRDefault="003066B8" w:rsidP="003D0E10">
      <w:pPr>
        <w:pStyle w:val="ListParagraph"/>
        <w:numPr>
          <w:ilvl w:val="0"/>
          <w:numId w:val="3"/>
        </w:numPr>
        <w:rPr>
          <w:rFonts w:cstheme="minorHAnsi"/>
        </w:rPr>
      </w:pPr>
      <w:r w:rsidRPr="00064A20">
        <w:rPr>
          <w:rFonts w:cstheme="minorHAnsi"/>
        </w:rPr>
        <w:t>What to do about income</w:t>
      </w:r>
    </w:p>
    <w:p w14:paraId="54B038E3" w14:textId="77777777" w:rsidR="00E51A3C" w:rsidRPr="00064A20" w:rsidRDefault="00E51A3C" w:rsidP="00CB1A7E">
      <w:pPr>
        <w:rPr>
          <w:rFonts w:cstheme="minorHAnsi"/>
        </w:rPr>
      </w:pPr>
    </w:p>
    <w:p w14:paraId="6DC3DDC3" w14:textId="6ED47B35" w:rsidR="00DF00AF" w:rsidRPr="00064A20" w:rsidRDefault="00DF00AF" w:rsidP="00DF00AF">
      <w:pPr>
        <w:pStyle w:val="NoSpacing"/>
        <w:rPr>
          <w:rFonts w:cstheme="minorHAnsi"/>
          <w:b/>
          <w:bCs/>
        </w:rPr>
      </w:pPr>
      <w:r w:rsidRPr="00064A20">
        <w:rPr>
          <w:rFonts w:cstheme="minorHAnsi"/>
          <w:b/>
          <w:bCs/>
        </w:rPr>
        <w:t xml:space="preserve">Q3)  </w:t>
      </w:r>
    </w:p>
    <w:p w14:paraId="1BECA471" w14:textId="1F8B2DE6" w:rsidR="008931BD" w:rsidRPr="00064A20" w:rsidRDefault="008931BD" w:rsidP="00DF00AF">
      <w:pPr>
        <w:pStyle w:val="NoSpacing"/>
        <w:numPr>
          <w:ilvl w:val="0"/>
          <w:numId w:val="2"/>
        </w:numPr>
        <w:rPr>
          <w:rFonts w:cstheme="minorHAnsi"/>
        </w:rPr>
      </w:pPr>
      <w:r w:rsidRPr="00064A20">
        <w:rPr>
          <w:rFonts w:cstheme="minorHAnsi"/>
          <w:b/>
          <w:bCs/>
        </w:rPr>
        <w:t>Use of money-weighted rate of return</w:t>
      </w:r>
      <w:r w:rsidRPr="00064A20">
        <w:rPr>
          <w:rFonts w:cstheme="minorHAnsi"/>
        </w:rPr>
        <w:t xml:space="preserve"> - </w:t>
      </w:r>
      <w:r w:rsidR="00CB1A7E" w:rsidRPr="00064A20">
        <w:rPr>
          <w:rFonts w:cstheme="minorHAnsi"/>
        </w:rPr>
        <w:t>The money-weighted rate of return (MWRR) is useful as an absolute measure of the achieved return. It can be compared with the actuarial assumptions underlying the fund to see whether the achieved return is higher or lower than that expected</w:t>
      </w:r>
      <w:r w:rsidRPr="00064A20">
        <w:rPr>
          <w:rFonts w:cstheme="minorHAnsi"/>
        </w:rPr>
        <w:t xml:space="preserve">. </w:t>
      </w:r>
    </w:p>
    <w:p w14:paraId="2C94C0A6" w14:textId="306A97C0" w:rsidR="008931BD" w:rsidRPr="00064A20" w:rsidRDefault="008931BD" w:rsidP="00DF00AF">
      <w:pPr>
        <w:pStyle w:val="NoSpacing"/>
        <w:numPr>
          <w:ilvl w:val="0"/>
          <w:numId w:val="2"/>
        </w:numPr>
        <w:rPr>
          <w:rFonts w:cstheme="minorHAnsi"/>
        </w:rPr>
      </w:pPr>
      <w:r w:rsidRPr="00064A20">
        <w:rPr>
          <w:rFonts w:cstheme="minorHAnsi"/>
          <w:b/>
          <w:bCs/>
        </w:rPr>
        <w:t>Weakness of money-weighted rate of return -</w:t>
      </w:r>
      <w:r w:rsidRPr="00064A20">
        <w:rPr>
          <w:rFonts w:cstheme="minorHAnsi"/>
        </w:rPr>
        <w:t xml:space="preserve"> The money-weighted rate of return is not a good basis for comparing two different fund managers. The main reason for this is that the rate of return can be heavily influenced by the timing and size of cashflows. The payments into and out of a particular fund are not usually within the control of the investment manager, so rates of return influenced by cashflows are not very useful when comparing investment managers.</w:t>
      </w:r>
    </w:p>
    <w:p w14:paraId="08E9A09D" w14:textId="2DB48E6A" w:rsidR="00CB1A7E" w:rsidRPr="00064A20" w:rsidRDefault="008931BD" w:rsidP="00DF00AF">
      <w:pPr>
        <w:pStyle w:val="NoSpacing"/>
        <w:numPr>
          <w:ilvl w:val="0"/>
          <w:numId w:val="2"/>
        </w:numPr>
        <w:rPr>
          <w:rFonts w:cstheme="minorHAnsi"/>
        </w:rPr>
      </w:pPr>
      <w:r w:rsidRPr="00064A20">
        <w:rPr>
          <w:rFonts w:cstheme="minorHAnsi"/>
          <w:b/>
          <w:bCs/>
        </w:rPr>
        <w:t>Use of time-weighted rate of return</w:t>
      </w:r>
      <w:r w:rsidRPr="00064A20">
        <w:rPr>
          <w:rFonts w:cstheme="minorHAnsi"/>
        </w:rPr>
        <w:t xml:space="preserve"> - The time-weighted rate of return overcomes the basic problem associated with money-weighted rates of return. Theoretically, it is usable as a basis for comparing different investment managers because the timing and size of cashflows will not distort the rates calculated.</w:t>
      </w:r>
    </w:p>
    <w:p w14:paraId="02C84B4F" w14:textId="753FB9AA" w:rsidR="008931BD" w:rsidRPr="00064A20" w:rsidRDefault="008931BD" w:rsidP="00DF00AF">
      <w:pPr>
        <w:pStyle w:val="NoSpacing"/>
        <w:numPr>
          <w:ilvl w:val="0"/>
          <w:numId w:val="2"/>
        </w:numPr>
        <w:rPr>
          <w:rFonts w:cstheme="minorHAnsi"/>
        </w:rPr>
      </w:pPr>
      <w:r w:rsidRPr="00064A20">
        <w:rPr>
          <w:rFonts w:cstheme="minorHAnsi"/>
          <w:b/>
          <w:bCs/>
        </w:rPr>
        <w:t xml:space="preserve">Weakness of time-weighted rate of return - </w:t>
      </w:r>
      <w:r w:rsidRPr="00064A20">
        <w:rPr>
          <w:rFonts w:cstheme="minorHAnsi"/>
        </w:rPr>
        <w:t>The problem with using the time-weighted rate of return in practice is the amount of data that is required - fund values are needed for every occasion on which there is a cashflow. This is often impracticable in practice.</w:t>
      </w:r>
    </w:p>
    <w:p w14:paraId="28C2B57B" w14:textId="4150EC88" w:rsidR="008931BD" w:rsidRPr="00064A20" w:rsidRDefault="008931BD" w:rsidP="00DF00AF">
      <w:pPr>
        <w:pStyle w:val="NoSpacing"/>
        <w:numPr>
          <w:ilvl w:val="0"/>
          <w:numId w:val="2"/>
        </w:numPr>
        <w:rPr>
          <w:rFonts w:cstheme="minorHAnsi"/>
        </w:rPr>
      </w:pPr>
      <w:r w:rsidRPr="00064A20">
        <w:rPr>
          <w:rFonts w:cstheme="minorHAnsi"/>
          <w:b/>
          <w:bCs/>
        </w:rPr>
        <w:t xml:space="preserve">Use of linked internal rate of return - </w:t>
      </w:r>
      <w:r w:rsidRPr="00064A20">
        <w:rPr>
          <w:rFonts w:cstheme="minorHAnsi"/>
        </w:rPr>
        <w:t xml:space="preserve">the linked internal rate of return is </w:t>
      </w:r>
      <w:r w:rsidR="00DF00AF" w:rsidRPr="00064A20">
        <w:rPr>
          <w:rFonts w:cstheme="minorHAnsi"/>
        </w:rPr>
        <w:t>a simplified method used to approximate to time-weighted rate of return</w:t>
      </w:r>
    </w:p>
    <w:p w14:paraId="54176DBC" w14:textId="77777777" w:rsidR="003066B8" w:rsidRPr="00064A20" w:rsidRDefault="00DF00AF" w:rsidP="003066B8">
      <w:pPr>
        <w:pStyle w:val="NoSpacing"/>
        <w:numPr>
          <w:ilvl w:val="0"/>
          <w:numId w:val="2"/>
        </w:numPr>
        <w:rPr>
          <w:rFonts w:cstheme="minorHAnsi"/>
        </w:rPr>
      </w:pPr>
      <w:r w:rsidRPr="00064A20">
        <w:rPr>
          <w:rFonts w:cstheme="minorHAnsi"/>
          <w:b/>
          <w:bCs/>
        </w:rPr>
        <w:t xml:space="preserve">Weakness of linked internal rate of return – </w:t>
      </w:r>
      <w:r w:rsidRPr="00064A20">
        <w:rPr>
          <w:rFonts w:cstheme="minorHAnsi"/>
        </w:rPr>
        <w:t>its main weakness is that it doesn’t give the rate of return actually earned on the assets over the period.</w:t>
      </w:r>
    </w:p>
    <w:p w14:paraId="345917C9" w14:textId="77777777" w:rsidR="003066B8" w:rsidRPr="00064A20" w:rsidRDefault="003066B8" w:rsidP="003066B8">
      <w:pPr>
        <w:pStyle w:val="NoSpacing"/>
        <w:ind w:left="720"/>
        <w:rPr>
          <w:rFonts w:cstheme="minorHAnsi"/>
        </w:rPr>
      </w:pPr>
    </w:p>
    <w:p w14:paraId="4458D610" w14:textId="74664C0F" w:rsidR="003066B8" w:rsidRPr="00064A20" w:rsidRDefault="003066B8" w:rsidP="003066B8">
      <w:pPr>
        <w:pStyle w:val="NoSpacing"/>
        <w:rPr>
          <w:rFonts w:cstheme="minorHAnsi"/>
        </w:rPr>
      </w:pPr>
      <w:r w:rsidRPr="00064A20">
        <w:rPr>
          <w:rFonts w:cstheme="minorHAnsi"/>
          <w:b/>
          <w:bCs/>
        </w:rPr>
        <w:t>Q4)</w:t>
      </w:r>
      <w:r w:rsidR="008973E6" w:rsidRPr="00064A20">
        <w:rPr>
          <w:rFonts w:cstheme="minorHAnsi"/>
          <w:b/>
          <w:bCs/>
        </w:rPr>
        <w:t xml:space="preserve"> </w:t>
      </w:r>
      <w:r w:rsidR="008973E6" w:rsidRPr="00064A20">
        <w:rPr>
          <w:rFonts w:cstheme="minorHAnsi"/>
        </w:rPr>
        <w:t>suppose that portfolio investment returns are assumed to be normally distributed and that it has been estimated that the 5% lower tail Value at Risk corresponds to a loss of 10% of the portfolio’s value over the next year. Dividing this 10% value at Risk by the 5% lower tail value of 1.645 from the normal table gives a maximum permitted tracking error of approximately 6%pa.</w:t>
      </w:r>
    </w:p>
    <w:p w14:paraId="1380DC54" w14:textId="5191462D" w:rsidR="008973E6" w:rsidRPr="00064A20" w:rsidRDefault="008973E6" w:rsidP="003066B8">
      <w:pPr>
        <w:pStyle w:val="NoSpacing"/>
        <w:rPr>
          <w:rFonts w:cstheme="minorHAnsi"/>
        </w:rPr>
      </w:pPr>
    </w:p>
    <w:p w14:paraId="4D3E0703" w14:textId="7CD6C0A2" w:rsidR="008973E6" w:rsidRPr="00064A20" w:rsidRDefault="008973E6" w:rsidP="003066B8">
      <w:pPr>
        <w:pStyle w:val="NoSpacing"/>
        <w:rPr>
          <w:rFonts w:cstheme="minorHAnsi"/>
        </w:rPr>
      </w:pPr>
      <w:r w:rsidRPr="00064A20">
        <w:rPr>
          <w:rFonts w:cstheme="minorHAnsi"/>
          <w:b/>
          <w:bCs/>
        </w:rPr>
        <w:t>Q5)</w:t>
      </w:r>
      <w:r w:rsidR="0047137C" w:rsidRPr="00064A20">
        <w:rPr>
          <w:rFonts w:cstheme="minorHAnsi"/>
          <w:b/>
          <w:bCs/>
        </w:rPr>
        <w:t xml:space="preserve"> </w:t>
      </w:r>
      <w:r w:rsidR="0047137C" w:rsidRPr="00064A20">
        <w:rPr>
          <w:rFonts w:cstheme="minorHAnsi"/>
        </w:rPr>
        <w:t>Shortfall probability -</w:t>
      </w:r>
      <w:r w:rsidR="0047137C" w:rsidRPr="00064A20">
        <w:rPr>
          <w:rFonts w:cstheme="minorHAnsi"/>
          <w:b/>
          <w:bCs/>
        </w:rPr>
        <w:t xml:space="preserve"> </w:t>
      </w:r>
      <w:r w:rsidR="0047137C" w:rsidRPr="00064A20">
        <w:rPr>
          <w:rFonts w:cstheme="minorHAnsi"/>
        </w:rPr>
        <w:t>Shortfall risk refers to the probability that a portfolio may not outperform an investor's minimum (benchmark) return. In other words, it's the possibility that a portfolio's return will fall short of what an investor thinks acceptable.</w:t>
      </w:r>
    </w:p>
    <w:p w14:paraId="3D65254A" w14:textId="38832F92" w:rsidR="0047137C" w:rsidRPr="00064A20" w:rsidRDefault="0047137C" w:rsidP="003066B8">
      <w:pPr>
        <w:pStyle w:val="NoSpacing"/>
        <w:rPr>
          <w:rFonts w:cstheme="minorHAnsi"/>
        </w:rPr>
      </w:pPr>
      <w:r w:rsidRPr="00064A20">
        <w:rPr>
          <w:rFonts w:cstheme="minorHAnsi"/>
        </w:rPr>
        <w:t xml:space="preserve">Expected shortfall - </w:t>
      </w:r>
      <w:r w:rsidRPr="00064A20">
        <w:rPr>
          <w:rFonts w:cstheme="minorHAnsi"/>
          <w:color w:val="000000"/>
          <w:shd w:val="clear" w:color="auto" w:fill="FFFFFF"/>
        </w:rPr>
        <w:t>Expected shortfall is a risk measure sensitive to the shape of the tail of the distribution of returns on a portfolio, unlike the more commonly used </w:t>
      </w:r>
      <w:r w:rsidRPr="00064A20">
        <w:rPr>
          <w:rStyle w:val="Strong"/>
          <w:rFonts w:cstheme="minorHAnsi"/>
          <w:b w:val="0"/>
          <w:bCs w:val="0"/>
          <w:color w:val="000000"/>
        </w:rPr>
        <w:t>value-at-risk</w:t>
      </w:r>
      <w:r w:rsidRPr="00064A20">
        <w:rPr>
          <w:rFonts w:cstheme="minorHAnsi"/>
          <w:color w:val="000000"/>
          <w:shd w:val="clear" w:color="auto" w:fill="FFFFFF"/>
        </w:rPr>
        <w:t>. Expected shortfall is calculated by averaging all of the returns in the distribution that are worse than the </w:t>
      </w:r>
      <w:r w:rsidRPr="00064A20">
        <w:rPr>
          <w:rStyle w:val="caps"/>
          <w:rFonts w:cstheme="minorHAnsi"/>
          <w:color w:val="000000"/>
          <w:shd w:val="clear" w:color="auto" w:fill="FFFFFF"/>
        </w:rPr>
        <w:t>VAR</w:t>
      </w:r>
      <w:r w:rsidRPr="00064A20">
        <w:rPr>
          <w:rFonts w:cstheme="minorHAnsi"/>
          <w:color w:val="000000"/>
          <w:shd w:val="clear" w:color="auto" w:fill="FFFFFF"/>
        </w:rPr>
        <w:t> of the portfolio at a given level of confidence.</w:t>
      </w:r>
    </w:p>
    <w:p w14:paraId="2AB08054" w14:textId="229378F6" w:rsidR="008973E6" w:rsidRPr="00064A20" w:rsidRDefault="008973E6" w:rsidP="003066B8">
      <w:pPr>
        <w:pStyle w:val="NoSpacing"/>
        <w:rPr>
          <w:rFonts w:cstheme="minorHAnsi"/>
        </w:rPr>
      </w:pPr>
    </w:p>
    <w:p w14:paraId="0E9431B0" w14:textId="694E6378" w:rsidR="002C2CC1" w:rsidRPr="00064A20" w:rsidRDefault="002C2CC1" w:rsidP="003066B8">
      <w:pPr>
        <w:pStyle w:val="NoSpacing"/>
        <w:rPr>
          <w:rFonts w:cstheme="minorHAnsi"/>
          <w:shd w:val="clear" w:color="auto" w:fill="F8F9FA"/>
        </w:rPr>
      </w:pPr>
      <w:r w:rsidRPr="00064A20">
        <w:rPr>
          <w:rFonts w:cstheme="minorHAnsi"/>
          <w:b/>
          <w:bCs/>
        </w:rPr>
        <w:t xml:space="preserve">Q6) </w:t>
      </w:r>
      <w:r w:rsidRPr="00064A20">
        <w:rPr>
          <w:rFonts w:cstheme="minorHAnsi"/>
          <w:shd w:val="clear" w:color="auto" w:fill="F8F9FA"/>
        </w:rPr>
        <w:t>A multi-factor model is a combination of various elements or factors that are correlated with asset returns. The model uses said factors to explain market equilibrium and asset prices. In multi-factor models, different factors are associated with certain characteristics, and it helps determine the weight or importance of that factor when computing asset price or return.</w:t>
      </w:r>
    </w:p>
    <w:p w14:paraId="3DD5FB07" w14:textId="7F4AD053" w:rsidR="002C2CC1" w:rsidRPr="00064A20" w:rsidRDefault="002C2CC1" w:rsidP="002C2CC1">
      <w:pPr>
        <w:rPr>
          <w:rFonts w:cstheme="minorHAnsi"/>
        </w:rPr>
      </w:pPr>
      <w:r w:rsidRPr="00064A20">
        <w:rPr>
          <w:rFonts w:cstheme="minorHAnsi"/>
        </w:rPr>
        <w:t>The Use of Multifactor model in Active Management:</w:t>
      </w:r>
    </w:p>
    <w:p w14:paraId="1AAB360F" w14:textId="77777777" w:rsidR="002C2CC1" w:rsidRPr="00064A20" w:rsidRDefault="002C2CC1" w:rsidP="002C2CC1">
      <w:pPr>
        <w:pStyle w:val="ListParagraph"/>
        <w:numPr>
          <w:ilvl w:val="0"/>
          <w:numId w:val="5"/>
        </w:numPr>
        <w:rPr>
          <w:rFonts w:cstheme="minorHAnsi"/>
        </w:rPr>
      </w:pPr>
      <w:r w:rsidRPr="00064A20">
        <w:rPr>
          <w:rFonts w:cstheme="minorHAnsi"/>
        </w:rPr>
        <w:lastRenderedPageBreak/>
        <w:t>Given a set of risk factors and their estimated factor returns, multifactor models can be used to determine the proper expected return on a share (the coefficients of the risk factors used in the model).</w:t>
      </w:r>
    </w:p>
    <w:p w14:paraId="3545B0B2" w14:textId="7344A504" w:rsidR="002C2CC1" w:rsidRPr="00064A20" w:rsidRDefault="002C2CC1" w:rsidP="002C2CC1">
      <w:pPr>
        <w:pStyle w:val="ListParagraph"/>
        <w:numPr>
          <w:ilvl w:val="0"/>
          <w:numId w:val="5"/>
        </w:numPr>
        <w:rPr>
          <w:rFonts w:cstheme="minorHAnsi"/>
        </w:rPr>
      </w:pPr>
      <w:r w:rsidRPr="00064A20">
        <w:rPr>
          <w:rFonts w:cstheme="minorHAnsi"/>
        </w:rPr>
        <w:t>Outperforming shares or sectors can be found if risk variables can be predicted with more precision than the market. The predicted return calculated using the approach can then be compared to the expected return estimated using a discounted dividend or PE ratio model.</w:t>
      </w:r>
    </w:p>
    <w:p w14:paraId="74270945" w14:textId="0F5FFE66" w:rsidR="002C2CC1" w:rsidRPr="00064A20" w:rsidRDefault="002C2CC1" w:rsidP="002C2CC1">
      <w:pPr>
        <w:pStyle w:val="ListParagraph"/>
        <w:numPr>
          <w:ilvl w:val="0"/>
          <w:numId w:val="5"/>
        </w:numPr>
        <w:rPr>
          <w:rFonts w:cstheme="minorHAnsi"/>
        </w:rPr>
      </w:pPr>
      <w:r w:rsidRPr="00064A20">
        <w:rPr>
          <w:rFonts w:cstheme="minorHAnsi"/>
        </w:rPr>
        <w:t>If the multifactor model's predicted return is lower than the current share price, the stock appears to be undervalued.</w:t>
      </w:r>
    </w:p>
    <w:p w14:paraId="2036604C" w14:textId="28801A05" w:rsidR="002C2CC1" w:rsidRPr="00064A20" w:rsidRDefault="002C2CC1" w:rsidP="002C2CC1">
      <w:pPr>
        <w:ind w:left="360"/>
        <w:rPr>
          <w:rFonts w:cstheme="minorHAnsi"/>
        </w:rPr>
      </w:pPr>
      <w:r w:rsidRPr="00064A20">
        <w:rPr>
          <w:rFonts w:cstheme="minorHAnsi"/>
        </w:rPr>
        <w:t>The Use of Multifactor model in Passive Management:</w:t>
      </w:r>
    </w:p>
    <w:p w14:paraId="04ECA34E" w14:textId="4716574F" w:rsidR="002C2CC1" w:rsidRPr="00064A20" w:rsidRDefault="002C2CC1" w:rsidP="002C2CC1">
      <w:pPr>
        <w:pStyle w:val="ListParagraph"/>
        <w:numPr>
          <w:ilvl w:val="0"/>
          <w:numId w:val="6"/>
        </w:numPr>
        <w:rPr>
          <w:rFonts w:cstheme="minorHAnsi"/>
        </w:rPr>
      </w:pPr>
      <w:r w:rsidRPr="00064A20">
        <w:rPr>
          <w:rFonts w:cstheme="minorHAnsi"/>
        </w:rPr>
        <w:t>Multifactor models can also be used to identify and control a portfolio's exposure to various risk factors, as well as to adjust the portfolio's risk profile to better match the liabilities' exposure.</w:t>
      </w:r>
    </w:p>
    <w:p w14:paraId="3F204458" w14:textId="77777777" w:rsidR="002C2CC1" w:rsidRPr="00064A20" w:rsidRDefault="002C2CC1" w:rsidP="002C2CC1">
      <w:pPr>
        <w:pStyle w:val="ListParagraph"/>
        <w:ind w:left="1080"/>
        <w:rPr>
          <w:rFonts w:cstheme="minorHAnsi"/>
        </w:rPr>
      </w:pPr>
    </w:p>
    <w:p w14:paraId="0FE256EB" w14:textId="723D9076" w:rsidR="002C2CC1" w:rsidRPr="00064A20" w:rsidRDefault="002C2CC1" w:rsidP="002C2CC1">
      <w:pPr>
        <w:pStyle w:val="NoSpacing"/>
        <w:rPr>
          <w:rFonts w:cstheme="minorHAnsi"/>
        </w:rPr>
      </w:pPr>
      <w:r w:rsidRPr="00064A20">
        <w:rPr>
          <w:rFonts w:cstheme="minorHAnsi"/>
          <w:b/>
          <w:bCs/>
        </w:rPr>
        <w:t xml:space="preserve">Q7) </w:t>
      </w:r>
      <w:r w:rsidRPr="00064A20">
        <w:rPr>
          <w:rFonts w:cstheme="minorHAnsi"/>
        </w:rPr>
        <w:t>Financial stress testing can be used to identify and analyze the hazards associated with significant market events.</w:t>
      </w:r>
    </w:p>
    <w:p w14:paraId="4D4D7A74" w14:textId="581CB51E" w:rsidR="002C2CC1" w:rsidRPr="00064A20" w:rsidRDefault="002C2CC1" w:rsidP="002C2CC1">
      <w:pPr>
        <w:pStyle w:val="NoSpacing"/>
        <w:rPr>
          <w:rFonts w:cstheme="minorHAnsi"/>
        </w:rPr>
      </w:pPr>
      <w:r w:rsidRPr="00064A20">
        <w:rPr>
          <w:rFonts w:cstheme="minorHAnsi"/>
        </w:rPr>
        <w:t>To acquire insight into portfolio sensitivities to predetermined risk factors, this includes subjecting a portfolio to significant market moves by substantially modifying the underlying portfolio assumptions and features. This has to do with asset correlations and volatility. There are two types of stress test:</w:t>
      </w:r>
    </w:p>
    <w:p w14:paraId="305FA3B6" w14:textId="77777777" w:rsidR="002C2CC1" w:rsidRPr="00064A20" w:rsidRDefault="002C2CC1" w:rsidP="002C2CC1">
      <w:pPr>
        <w:pStyle w:val="NoSpacing"/>
        <w:rPr>
          <w:rFonts w:cstheme="minorHAnsi"/>
        </w:rPr>
      </w:pPr>
      <w:r w:rsidRPr="00064A20">
        <w:rPr>
          <w:rFonts w:cstheme="minorHAnsi"/>
        </w:rPr>
        <w:t>1)To identify “weak areas” in the portfolio and investigate the effects of localized stress situations by looking at the effect of different combinations of correlations and volatilities.</w:t>
      </w:r>
    </w:p>
    <w:p w14:paraId="60184259" w14:textId="77777777" w:rsidR="002C2CC1" w:rsidRPr="00064A20" w:rsidRDefault="002C2CC1" w:rsidP="002C2CC1">
      <w:pPr>
        <w:pStyle w:val="NoSpacing"/>
        <w:rPr>
          <w:rFonts w:cstheme="minorHAnsi"/>
        </w:rPr>
      </w:pPr>
      <w:r w:rsidRPr="00064A20">
        <w:rPr>
          <w:rFonts w:cstheme="minorHAnsi"/>
        </w:rPr>
        <w:t>2)To gauge the impact of major market turmoil affecting all model parameters, while ensuring consistency between correlations while they are “stressed”.</w:t>
      </w:r>
    </w:p>
    <w:p w14:paraId="184F8EF3" w14:textId="77777777" w:rsidR="002C2CC1" w:rsidRPr="00064A20" w:rsidRDefault="002C2CC1" w:rsidP="002C2CC1">
      <w:pPr>
        <w:rPr>
          <w:rFonts w:cstheme="minorHAnsi"/>
        </w:rPr>
      </w:pPr>
    </w:p>
    <w:p w14:paraId="3E10DF56" w14:textId="2621516E" w:rsidR="00172612" w:rsidRPr="00064A20" w:rsidRDefault="00172612" w:rsidP="00172612">
      <w:pPr>
        <w:pStyle w:val="NoSpacing"/>
        <w:rPr>
          <w:rFonts w:cstheme="minorHAnsi"/>
        </w:rPr>
      </w:pPr>
      <w:r w:rsidRPr="00064A20">
        <w:rPr>
          <w:rFonts w:cstheme="minorHAnsi"/>
          <w:b/>
          <w:bCs/>
        </w:rPr>
        <w:t>Q8</w:t>
      </w:r>
      <w:r w:rsidR="005D4C73" w:rsidRPr="00064A20">
        <w:rPr>
          <w:rFonts w:cstheme="minorHAnsi"/>
          <w:b/>
          <w:bCs/>
        </w:rPr>
        <w:t>.i</w:t>
      </w:r>
      <w:r w:rsidRPr="00064A20">
        <w:rPr>
          <w:rFonts w:cstheme="minorHAnsi"/>
          <w:b/>
          <w:bCs/>
        </w:rPr>
        <w:t>)</w:t>
      </w:r>
      <w:r w:rsidRPr="00064A20">
        <w:rPr>
          <w:rFonts w:cstheme="minorHAnsi"/>
        </w:rPr>
        <w:t xml:space="preserve"> An investment index represents the relative changes in the share / stock prices of the constituent companies or stocks which make up the index. The fund manager will not include every index stock to achieve the sector weight due to the following reasons:</w:t>
      </w:r>
    </w:p>
    <w:p w14:paraId="2854C015" w14:textId="77777777" w:rsidR="00172612" w:rsidRPr="00064A20" w:rsidRDefault="00172612" w:rsidP="00172612">
      <w:pPr>
        <w:pStyle w:val="NoSpacing"/>
        <w:rPr>
          <w:rFonts w:cstheme="minorHAnsi"/>
        </w:rPr>
      </w:pPr>
    </w:p>
    <w:p w14:paraId="5659B74D" w14:textId="77777777" w:rsidR="00172612" w:rsidRPr="00064A20" w:rsidRDefault="00172612" w:rsidP="00172612">
      <w:pPr>
        <w:pStyle w:val="NoSpacing"/>
        <w:numPr>
          <w:ilvl w:val="0"/>
          <w:numId w:val="6"/>
        </w:numPr>
        <w:rPr>
          <w:rFonts w:cstheme="minorHAnsi"/>
        </w:rPr>
      </w:pPr>
      <w:r w:rsidRPr="00064A20">
        <w:rPr>
          <w:rFonts w:cstheme="minorHAnsi"/>
        </w:rPr>
        <w:t>Each index has its own particular purpose and use. Each index will be constructed using certain eligibility criteria to determine the constituent companies from time to time.</w:t>
      </w:r>
    </w:p>
    <w:p w14:paraId="4AD9DE5D" w14:textId="77777777" w:rsidR="00172612" w:rsidRPr="00064A20" w:rsidRDefault="00172612" w:rsidP="00172612">
      <w:pPr>
        <w:pStyle w:val="NoSpacing"/>
        <w:rPr>
          <w:rFonts w:cstheme="minorHAnsi"/>
        </w:rPr>
      </w:pPr>
    </w:p>
    <w:p w14:paraId="23346403" w14:textId="77777777" w:rsidR="00172612" w:rsidRPr="00064A20" w:rsidRDefault="00172612" w:rsidP="00172612">
      <w:pPr>
        <w:pStyle w:val="NoSpacing"/>
        <w:numPr>
          <w:ilvl w:val="0"/>
          <w:numId w:val="6"/>
        </w:numPr>
        <w:rPr>
          <w:rFonts w:cstheme="minorHAnsi"/>
        </w:rPr>
      </w:pPr>
      <w:r w:rsidRPr="00064A20">
        <w:rPr>
          <w:rFonts w:cstheme="minorHAnsi"/>
        </w:rPr>
        <w:t xml:space="preserve">In addition to this, not every stock included in the index will belong to a particular sector. For </w:t>
      </w:r>
      <w:proofErr w:type="spellStart"/>
      <w:r w:rsidRPr="00064A20">
        <w:rPr>
          <w:rFonts w:cstheme="minorHAnsi"/>
        </w:rPr>
        <w:t>eg.</w:t>
      </w:r>
      <w:proofErr w:type="spellEnd"/>
      <w:r w:rsidRPr="00064A20">
        <w:rPr>
          <w:rFonts w:cstheme="minorHAnsi"/>
        </w:rPr>
        <w:t xml:space="preserve"> there are certain stocks that belong to the miscellaneous category i.e., they are not categorized under a particular sector or industry. The fund manager will not include such stock in sector weights as it does not contribute or fall under a specific category.</w:t>
      </w:r>
    </w:p>
    <w:p w14:paraId="2BED92D8" w14:textId="77777777" w:rsidR="00172612" w:rsidRPr="00064A20" w:rsidRDefault="00172612" w:rsidP="00172612">
      <w:pPr>
        <w:pStyle w:val="NoSpacing"/>
        <w:rPr>
          <w:rFonts w:cstheme="minorHAnsi"/>
        </w:rPr>
      </w:pPr>
    </w:p>
    <w:p w14:paraId="54273472" w14:textId="77777777" w:rsidR="00172612" w:rsidRPr="00064A20" w:rsidRDefault="00172612" w:rsidP="00172612">
      <w:pPr>
        <w:pStyle w:val="NoSpacing"/>
        <w:numPr>
          <w:ilvl w:val="0"/>
          <w:numId w:val="6"/>
        </w:numPr>
        <w:rPr>
          <w:rFonts w:cstheme="minorHAnsi"/>
        </w:rPr>
      </w:pPr>
      <w:r w:rsidRPr="00064A20">
        <w:rPr>
          <w:rFonts w:cstheme="minorHAnsi"/>
        </w:rPr>
        <w:t>The performance of a stock plays a crucial role in the inclusion in the index fund. A fund manager should include constituents of index in the fund only which yield positive returns to the investors. Thus, the fund manager is not under any obligation to include all the constituents of a sector which form a part of the index. He can even achieve the target weight by excluding stocks.</w:t>
      </w:r>
    </w:p>
    <w:p w14:paraId="7F13DA4B" w14:textId="77777777" w:rsidR="00172612" w:rsidRPr="00064A20" w:rsidRDefault="00172612" w:rsidP="00172612">
      <w:pPr>
        <w:pStyle w:val="NoSpacing"/>
        <w:rPr>
          <w:rFonts w:cstheme="minorHAnsi"/>
        </w:rPr>
      </w:pPr>
    </w:p>
    <w:p w14:paraId="37AA6A21" w14:textId="164C00D2" w:rsidR="00172612" w:rsidRPr="00064A20" w:rsidRDefault="005D4C73" w:rsidP="00172612">
      <w:pPr>
        <w:pStyle w:val="NoSpacing"/>
        <w:rPr>
          <w:rFonts w:cstheme="minorHAnsi"/>
        </w:rPr>
      </w:pPr>
      <w:r w:rsidRPr="00064A20">
        <w:rPr>
          <w:rFonts w:cstheme="minorHAnsi"/>
          <w:b/>
          <w:bCs/>
        </w:rPr>
        <w:t xml:space="preserve">ii) </w:t>
      </w:r>
      <w:r w:rsidR="00172612" w:rsidRPr="00064A20">
        <w:rPr>
          <w:rFonts w:cstheme="minorHAnsi"/>
        </w:rPr>
        <w:t>The quantitative investigations that could be made to ensure that the fund effectively tracks the index after the fund has been set up are as follows:</w:t>
      </w:r>
    </w:p>
    <w:p w14:paraId="1FB649A2" w14:textId="671B65EB" w:rsidR="00172612" w:rsidRPr="00064A20" w:rsidRDefault="00172612" w:rsidP="005D4C73">
      <w:pPr>
        <w:pStyle w:val="NoSpacing"/>
        <w:numPr>
          <w:ilvl w:val="0"/>
          <w:numId w:val="9"/>
        </w:numPr>
        <w:rPr>
          <w:rFonts w:cstheme="minorHAnsi"/>
        </w:rPr>
      </w:pPr>
      <w:r w:rsidRPr="00064A20">
        <w:rPr>
          <w:rFonts w:cstheme="minorHAnsi"/>
          <w:b/>
          <w:bCs/>
        </w:rPr>
        <w:lastRenderedPageBreak/>
        <w:t>Timely checks on the weights of the index and the fund</w:t>
      </w:r>
      <w:r w:rsidRPr="00064A20">
        <w:rPr>
          <w:rFonts w:cstheme="minorHAnsi"/>
        </w:rPr>
        <w:t xml:space="preserve"> - To ensure that the fund tracks the index, the fund's weights should be identical to those of the index it is monitoring. The fund's weights will be rebalanced if the index's weights change.</w:t>
      </w:r>
    </w:p>
    <w:p w14:paraId="2F3396EE" w14:textId="77777777" w:rsidR="00172612" w:rsidRPr="00064A20" w:rsidRDefault="00172612" w:rsidP="005D4C73">
      <w:pPr>
        <w:pStyle w:val="NoSpacing"/>
        <w:rPr>
          <w:rFonts w:cstheme="minorHAnsi"/>
        </w:rPr>
      </w:pPr>
    </w:p>
    <w:p w14:paraId="69320273" w14:textId="592EE620" w:rsidR="00172612" w:rsidRPr="00064A20" w:rsidRDefault="00172612" w:rsidP="005D4C73">
      <w:pPr>
        <w:pStyle w:val="NoSpacing"/>
        <w:numPr>
          <w:ilvl w:val="0"/>
          <w:numId w:val="9"/>
        </w:numPr>
        <w:rPr>
          <w:rFonts w:cstheme="minorHAnsi"/>
        </w:rPr>
      </w:pPr>
      <w:r w:rsidRPr="00064A20">
        <w:rPr>
          <w:rFonts w:cstheme="minorHAnsi"/>
          <w:b/>
          <w:bCs/>
        </w:rPr>
        <w:t>Timely check of tracking error -</w:t>
      </w:r>
      <w:r w:rsidRPr="00064A20">
        <w:rPr>
          <w:rFonts w:cstheme="minorHAnsi"/>
        </w:rPr>
        <w:t xml:space="preserve"> The difference between the price behavior of a position or a portfolio and the price behavior of a benchmark is known as tracking error. The discrepancy between the return an investor receives and the return of the benchmark they were aiming to emulate is expressed as tracking error as a standard deviation percentage difference. Regularly reviewing the tracking error is a key quantitative study to see if the fund is effectively following the fund.</w:t>
      </w:r>
    </w:p>
    <w:p w14:paraId="3E94D563" w14:textId="77777777" w:rsidR="00172612" w:rsidRPr="00064A20" w:rsidRDefault="00172612" w:rsidP="005D4C73">
      <w:pPr>
        <w:pStyle w:val="NoSpacing"/>
        <w:rPr>
          <w:rFonts w:cstheme="minorHAnsi"/>
        </w:rPr>
      </w:pPr>
    </w:p>
    <w:p w14:paraId="6ECB081C" w14:textId="40CABD6A" w:rsidR="00172612" w:rsidRPr="00064A20" w:rsidRDefault="00172612" w:rsidP="005D4C73">
      <w:pPr>
        <w:pStyle w:val="NoSpacing"/>
        <w:numPr>
          <w:ilvl w:val="0"/>
          <w:numId w:val="9"/>
        </w:numPr>
        <w:rPr>
          <w:rFonts w:cstheme="minorHAnsi"/>
        </w:rPr>
      </w:pPr>
      <w:r w:rsidRPr="00064A20">
        <w:rPr>
          <w:rFonts w:cstheme="minorHAnsi"/>
          <w:b/>
          <w:bCs/>
        </w:rPr>
        <w:t>Setting benchmark return for each sector.</w:t>
      </w:r>
      <w:r w:rsidRPr="00064A20">
        <w:rPr>
          <w:rFonts w:cstheme="minorHAnsi"/>
        </w:rPr>
        <w:t xml:space="preserve"> Because the fund manager will not include every index constituent in the fund, setting and tracking the performance of the stock featured in the fund should be a key quantitative check.</w:t>
      </w:r>
    </w:p>
    <w:p w14:paraId="70AF4EF7" w14:textId="7E030F82" w:rsidR="002C2CC1" w:rsidRPr="00064A20" w:rsidRDefault="002C2CC1" w:rsidP="00172612">
      <w:pPr>
        <w:pStyle w:val="NoSpacing"/>
        <w:rPr>
          <w:rFonts w:cstheme="minorHAnsi"/>
          <w:b/>
          <w:bCs/>
        </w:rPr>
      </w:pPr>
    </w:p>
    <w:p w14:paraId="0EA814DF" w14:textId="77777777" w:rsidR="00172612" w:rsidRPr="00064A20" w:rsidRDefault="00172612" w:rsidP="00172612">
      <w:pPr>
        <w:pStyle w:val="NoSpacing"/>
        <w:rPr>
          <w:rFonts w:cstheme="minorHAnsi"/>
          <w:b/>
          <w:bCs/>
        </w:rPr>
      </w:pPr>
    </w:p>
    <w:p w14:paraId="723ECE24" w14:textId="721F0FE5" w:rsidR="005D4C73" w:rsidRPr="00064A20" w:rsidRDefault="00172612" w:rsidP="005D4C73">
      <w:pPr>
        <w:spacing w:line="276" w:lineRule="auto"/>
        <w:jc w:val="both"/>
        <w:rPr>
          <w:rFonts w:cstheme="minorHAnsi"/>
        </w:rPr>
      </w:pPr>
      <w:r w:rsidRPr="00064A20">
        <w:rPr>
          <w:rFonts w:cstheme="minorHAnsi"/>
          <w:b/>
          <w:bCs/>
        </w:rPr>
        <w:t>Q9</w:t>
      </w:r>
      <w:r w:rsidR="005D4C73" w:rsidRPr="00064A20">
        <w:rPr>
          <w:rFonts w:cstheme="minorHAnsi"/>
          <w:b/>
          <w:bCs/>
        </w:rPr>
        <w:t>.i.a</w:t>
      </w:r>
      <w:r w:rsidRPr="00064A20">
        <w:rPr>
          <w:rFonts w:cstheme="minorHAnsi"/>
          <w:b/>
          <w:bCs/>
        </w:rPr>
        <w:t>)</w:t>
      </w:r>
      <w:r w:rsidR="005D4C73" w:rsidRPr="00064A20">
        <w:rPr>
          <w:rFonts w:cstheme="minorHAnsi"/>
        </w:rPr>
        <w:t xml:space="preserve"> The main type of hedge fund that the pension fund could invest in are as follows:   </w:t>
      </w:r>
    </w:p>
    <w:p w14:paraId="6E9D3150" w14:textId="25AFE7C2" w:rsidR="005D4C73" w:rsidRPr="00064A20" w:rsidRDefault="005D4C73" w:rsidP="005D4C73">
      <w:pPr>
        <w:pStyle w:val="ListParagraph"/>
        <w:numPr>
          <w:ilvl w:val="1"/>
          <w:numId w:val="7"/>
        </w:numPr>
        <w:spacing w:line="276" w:lineRule="auto"/>
        <w:ind w:left="993" w:hanging="284"/>
        <w:jc w:val="both"/>
        <w:rPr>
          <w:rFonts w:cstheme="minorHAnsi"/>
        </w:rPr>
      </w:pPr>
      <w:r w:rsidRPr="00064A20">
        <w:rPr>
          <w:rFonts w:cstheme="minorHAnsi"/>
        </w:rPr>
        <w:t xml:space="preserve">Fixed Income Arbitrage Hedge Funds rate risk. </w:t>
      </w:r>
    </w:p>
    <w:p w14:paraId="1C1DFDCD" w14:textId="0E9F8014" w:rsidR="005D4C73" w:rsidRPr="00064A20" w:rsidRDefault="005D4C73" w:rsidP="005D4C73">
      <w:pPr>
        <w:pStyle w:val="ListParagraph"/>
        <w:numPr>
          <w:ilvl w:val="1"/>
          <w:numId w:val="7"/>
        </w:numPr>
        <w:spacing w:line="276" w:lineRule="auto"/>
        <w:ind w:left="993" w:hanging="284"/>
        <w:jc w:val="both"/>
        <w:rPr>
          <w:rFonts w:cstheme="minorHAnsi"/>
        </w:rPr>
      </w:pPr>
      <w:r w:rsidRPr="00064A20">
        <w:rPr>
          <w:rFonts w:cstheme="minorHAnsi"/>
        </w:rPr>
        <w:t>Convertible Arbitrage Hedge Fund Strategy</w:t>
      </w:r>
    </w:p>
    <w:p w14:paraId="67785113" w14:textId="0CB55FA6" w:rsidR="005D4C73" w:rsidRPr="00064A20" w:rsidRDefault="005D4C73" w:rsidP="005D4C73">
      <w:pPr>
        <w:pStyle w:val="ListParagraph"/>
        <w:numPr>
          <w:ilvl w:val="1"/>
          <w:numId w:val="7"/>
        </w:numPr>
        <w:spacing w:line="276" w:lineRule="auto"/>
        <w:ind w:left="993" w:hanging="284"/>
        <w:jc w:val="both"/>
        <w:rPr>
          <w:rFonts w:cstheme="minorHAnsi"/>
        </w:rPr>
      </w:pPr>
      <w:r w:rsidRPr="00064A20">
        <w:rPr>
          <w:rFonts w:cstheme="minorHAnsi"/>
        </w:rPr>
        <w:t xml:space="preserve">Long / Short Equity Strategy </w:t>
      </w:r>
    </w:p>
    <w:p w14:paraId="4833C3AA" w14:textId="5C71830C" w:rsidR="005D4C73" w:rsidRPr="00064A20" w:rsidRDefault="005D4C73" w:rsidP="005D4C73">
      <w:pPr>
        <w:pStyle w:val="ListParagraph"/>
        <w:numPr>
          <w:ilvl w:val="1"/>
          <w:numId w:val="7"/>
        </w:numPr>
        <w:spacing w:line="276" w:lineRule="auto"/>
        <w:ind w:left="993" w:hanging="284"/>
        <w:jc w:val="both"/>
        <w:rPr>
          <w:rFonts w:cstheme="minorHAnsi"/>
        </w:rPr>
      </w:pPr>
      <w:r w:rsidRPr="00064A20">
        <w:rPr>
          <w:rFonts w:cstheme="minorHAnsi"/>
        </w:rPr>
        <w:t>Emerging Markets</w:t>
      </w:r>
    </w:p>
    <w:p w14:paraId="04E62D86" w14:textId="2CB1A9A5" w:rsidR="005D4C73" w:rsidRPr="00064A20" w:rsidRDefault="005D4C73" w:rsidP="005D4C73">
      <w:pPr>
        <w:pStyle w:val="ListParagraph"/>
        <w:numPr>
          <w:ilvl w:val="1"/>
          <w:numId w:val="7"/>
        </w:numPr>
        <w:spacing w:line="276" w:lineRule="auto"/>
        <w:ind w:left="993" w:hanging="284"/>
        <w:jc w:val="both"/>
        <w:rPr>
          <w:rFonts w:cstheme="minorHAnsi"/>
        </w:rPr>
      </w:pPr>
      <w:r w:rsidRPr="00064A20">
        <w:rPr>
          <w:rFonts w:cstheme="minorHAnsi"/>
        </w:rPr>
        <w:t xml:space="preserve">Equity Market Neutral </w:t>
      </w:r>
    </w:p>
    <w:p w14:paraId="178874FE" w14:textId="049E5B99" w:rsidR="005D4C73" w:rsidRPr="00064A20" w:rsidRDefault="00F34452" w:rsidP="005D4C73">
      <w:pPr>
        <w:spacing w:line="276" w:lineRule="auto"/>
        <w:jc w:val="both"/>
        <w:rPr>
          <w:rFonts w:cstheme="minorHAnsi"/>
        </w:rPr>
      </w:pPr>
      <w:r w:rsidRPr="00064A20">
        <w:rPr>
          <w:rFonts w:cstheme="minorHAnsi"/>
          <w:b/>
          <w:bCs/>
        </w:rPr>
        <w:t>b</w:t>
      </w:r>
      <w:r w:rsidR="005D4C73" w:rsidRPr="00064A20">
        <w:rPr>
          <w:rFonts w:cstheme="minorHAnsi"/>
          <w:b/>
          <w:bCs/>
        </w:rPr>
        <w:t xml:space="preserve">) </w:t>
      </w:r>
      <w:r w:rsidR="005D4C73" w:rsidRPr="00064A20">
        <w:rPr>
          <w:rFonts w:cstheme="minorHAnsi"/>
        </w:rPr>
        <w:t>The main investment characteristic of a hedge fund are as follows:</w:t>
      </w:r>
    </w:p>
    <w:p w14:paraId="4C27E1D5" w14:textId="2535AE1C" w:rsidR="005D4C73" w:rsidRPr="00064A20" w:rsidRDefault="005D4C73" w:rsidP="005D4C73">
      <w:pPr>
        <w:pStyle w:val="NoSpacing"/>
        <w:numPr>
          <w:ilvl w:val="0"/>
          <w:numId w:val="11"/>
        </w:numPr>
        <w:rPr>
          <w:rFonts w:cstheme="minorHAnsi"/>
        </w:rPr>
      </w:pPr>
      <w:r w:rsidRPr="00064A20">
        <w:rPr>
          <w:rFonts w:cstheme="minorHAnsi"/>
        </w:rPr>
        <w:t>High Net-Worth Individuals</w:t>
      </w:r>
    </w:p>
    <w:p w14:paraId="310F7F12" w14:textId="2770DC65" w:rsidR="005D4C73" w:rsidRPr="00064A20" w:rsidRDefault="005D4C73" w:rsidP="005D4C73">
      <w:pPr>
        <w:pStyle w:val="NoSpacing"/>
        <w:numPr>
          <w:ilvl w:val="0"/>
          <w:numId w:val="11"/>
        </w:numPr>
        <w:rPr>
          <w:rFonts w:cstheme="minorHAnsi"/>
        </w:rPr>
      </w:pPr>
      <w:r w:rsidRPr="00064A20">
        <w:rPr>
          <w:rFonts w:cstheme="minorHAnsi"/>
        </w:rPr>
        <w:t>Diverse Portfolio</w:t>
      </w:r>
    </w:p>
    <w:p w14:paraId="52D95E2D" w14:textId="7AA1ACD8" w:rsidR="005D4C73" w:rsidRPr="00064A20" w:rsidRDefault="005D4C73" w:rsidP="005D4C73">
      <w:pPr>
        <w:pStyle w:val="NoSpacing"/>
        <w:numPr>
          <w:ilvl w:val="0"/>
          <w:numId w:val="11"/>
        </w:numPr>
        <w:rPr>
          <w:rFonts w:cstheme="minorHAnsi"/>
        </w:rPr>
      </w:pPr>
      <w:r w:rsidRPr="00064A20">
        <w:rPr>
          <w:rFonts w:cstheme="minorHAnsi"/>
        </w:rPr>
        <w:t>Higher Fees</w:t>
      </w:r>
    </w:p>
    <w:p w14:paraId="36C5F6AF" w14:textId="48B70051" w:rsidR="005D4C73" w:rsidRPr="00064A20" w:rsidRDefault="005D4C73" w:rsidP="005D4C73">
      <w:pPr>
        <w:pStyle w:val="NoSpacing"/>
        <w:numPr>
          <w:ilvl w:val="0"/>
          <w:numId w:val="11"/>
        </w:numPr>
        <w:rPr>
          <w:rFonts w:cstheme="minorHAnsi"/>
        </w:rPr>
      </w:pPr>
      <w:r w:rsidRPr="00064A20">
        <w:rPr>
          <w:rFonts w:cstheme="minorHAnsi"/>
        </w:rPr>
        <w:t>Higher Risks</w:t>
      </w:r>
    </w:p>
    <w:p w14:paraId="25791796" w14:textId="77777777" w:rsidR="00F34452" w:rsidRPr="00064A20" w:rsidRDefault="00F34452" w:rsidP="00F34452">
      <w:pPr>
        <w:spacing w:line="276" w:lineRule="auto"/>
        <w:jc w:val="both"/>
        <w:rPr>
          <w:rFonts w:cstheme="minorHAnsi"/>
          <w:b/>
          <w:bCs/>
        </w:rPr>
      </w:pPr>
    </w:p>
    <w:p w14:paraId="12B24B0E" w14:textId="77777777" w:rsidR="00F34452" w:rsidRPr="00064A20" w:rsidRDefault="00F34452" w:rsidP="00F34452">
      <w:pPr>
        <w:spacing w:line="276" w:lineRule="auto"/>
        <w:jc w:val="both"/>
        <w:rPr>
          <w:rFonts w:cstheme="minorHAnsi"/>
        </w:rPr>
      </w:pPr>
      <w:r w:rsidRPr="00064A20">
        <w:rPr>
          <w:rFonts w:cstheme="minorHAnsi"/>
          <w:b/>
          <w:bCs/>
        </w:rPr>
        <w:t>i</w:t>
      </w:r>
      <w:r w:rsidRPr="00064A20">
        <w:rPr>
          <w:rFonts w:cstheme="minorHAnsi"/>
          <w:b/>
          <w:bCs/>
        </w:rPr>
        <w:t>i</w:t>
      </w:r>
      <w:r w:rsidRPr="00064A20">
        <w:rPr>
          <w:rFonts w:cstheme="minorHAnsi"/>
          <w:b/>
          <w:bCs/>
        </w:rPr>
        <w:t>)</w:t>
      </w:r>
      <w:r w:rsidRPr="00064A20">
        <w:rPr>
          <w:rFonts w:cstheme="minorHAnsi"/>
        </w:rPr>
        <w:t xml:space="preserve"> the main reason why </w:t>
      </w:r>
      <w:r w:rsidRPr="00064A20">
        <w:rPr>
          <w:rFonts w:cstheme="minorHAnsi"/>
        </w:rPr>
        <w:t>there is a lack of credible performance data</w:t>
      </w:r>
      <w:r w:rsidRPr="00064A20">
        <w:rPr>
          <w:rFonts w:cstheme="minorHAnsi"/>
        </w:rPr>
        <w:t>:</w:t>
      </w:r>
    </w:p>
    <w:p w14:paraId="799284FC" w14:textId="766EC617" w:rsidR="00F34452" w:rsidRPr="00064A20" w:rsidRDefault="00F34452" w:rsidP="00F34452">
      <w:pPr>
        <w:pStyle w:val="ListParagraph"/>
        <w:numPr>
          <w:ilvl w:val="0"/>
          <w:numId w:val="14"/>
        </w:numPr>
        <w:spacing w:line="276" w:lineRule="auto"/>
        <w:jc w:val="both"/>
        <w:rPr>
          <w:rFonts w:cstheme="minorHAnsi"/>
        </w:rPr>
      </w:pPr>
      <w:r w:rsidRPr="00064A20">
        <w:rPr>
          <w:rFonts w:cstheme="minorHAnsi"/>
        </w:rPr>
        <w:t>Lack of regulation: Hedge funds are less regulated as compared to other institutions. Due to this, they are not bound by law or rules to publish data about their performance.</w:t>
      </w:r>
    </w:p>
    <w:p w14:paraId="37833AB3" w14:textId="77777777" w:rsidR="00F34452" w:rsidRPr="00064A20" w:rsidRDefault="00F34452" w:rsidP="00F34452">
      <w:pPr>
        <w:pStyle w:val="ListParagraph"/>
        <w:numPr>
          <w:ilvl w:val="0"/>
          <w:numId w:val="14"/>
        </w:numPr>
        <w:spacing w:line="276" w:lineRule="auto"/>
        <w:jc w:val="both"/>
        <w:rPr>
          <w:rFonts w:cstheme="minorHAnsi"/>
        </w:rPr>
      </w:pPr>
      <w:r w:rsidRPr="00064A20">
        <w:rPr>
          <w:rFonts w:cstheme="minorHAnsi"/>
        </w:rPr>
        <w:t xml:space="preserve">Manipulation of performance returns: To gain more clients and retain existing ones, hedge funds manipulate their return data using various techniques. This makes it challenging to obtain credible data about their performance. </w:t>
      </w:r>
    </w:p>
    <w:p w14:paraId="1C7D538A" w14:textId="1057270E" w:rsidR="00F34452" w:rsidRPr="00064A20" w:rsidRDefault="00F34452" w:rsidP="00F34452">
      <w:pPr>
        <w:pStyle w:val="ListParagraph"/>
        <w:numPr>
          <w:ilvl w:val="0"/>
          <w:numId w:val="14"/>
        </w:numPr>
        <w:spacing w:line="276" w:lineRule="auto"/>
        <w:jc w:val="both"/>
        <w:rPr>
          <w:rFonts w:cstheme="minorHAnsi"/>
        </w:rPr>
      </w:pPr>
      <w:r w:rsidRPr="00064A20">
        <w:rPr>
          <w:rFonts w:cstheme="minorHAnsi"/>
        </w:rPr>
        <w:t xml:space="preserve">Confidentiality and Secrecy: Hedge funds adhere to the highest norms and standards with respect to the confidentiality of their strategies, reports, etc. This poses a challenge for the public at large to obtain credible data about the performance of the hedge funds.     </w:t>
      </w:r>
    </w:p>
    <w:p w14:paraId="7A820798" w14:textId="2DB5C4A2" w:rsidR="00F34452" w:rsidRPr="00064A20" w:rsidRDefault="00F34452" w:rsidP="00F34452">
      <w:pPr>
        <w:spacing w:line="276" w:lineRule="auto"/>
        <w:jc w:val="both"/>
        <w:rPr>
          <w:rFonts w:cstheme="minorHAnsi"/>
        </w:rPr>
      </w:pPr>
      <w:r w:rsidRPr="00064A20">
        <w:rPr>
          <w:rFonts w:cstheme="minorHAnsi"/>
          <w:b/>
          <w:bCs/>
        </w:rPr>
        <w:t xml:space="preserve">iii) </w:t>
      </w:r>
      <w:r w:rsidRPr="00064A20">
        <w:rPr>
          <w:rFonts w:cstheme="minorHAnsi"/>
        </w:rPr>
        <w:t>This is a standard call with a $20 strike price that expires if the future price falls to $18.</w:t>
      </w:r>
      <w:r w:rsidRPr="00064A20">
        <w:rPr>
          <w:rFonts w:cstheme="minorHAnsi"/>
        </w:rPr>
        <w:t xml:space="preserve"> </w:t>
      </w:r>
    </w:p>
    <w:p w14:paraId="6FC82748" w14:textId="77777777" w:rsidR="00C903CC" w:rsidRPr="00064A20" w:rsidRDefault="00F34452" w:rsidP="00F34452">
      <w:pPr>
        <w:spacing w:line="276" w:lineRule="auto"/>
        <w:jc w:val="both"/>
        <w:rPr>
          <w:rFonts w:cstheme="minorHAnsi"/>
        </w:rPr>
      </w:pPr>
      <w:r w:rsidRPr="00064A20">
        <w:rPr>
          <w:rFonts w:cstheme="minorHAnsi"/>
        </w:rPr>
        <w:t xml:space="preserve">So here y = </w:t>
      </w:r>
      <w:r w:rsidR="00C903CC" w:rsidRPr="00064A20">
        <w:rPr>
          <w:rFonts w:cstheme="minorHAnsi"/>
        </w:rPr>
        <w:t>({</w:t>
      </w:r>
      <w:proofErr w:type="gramStart"/>
      <w:r w:rsidR="00C903CC" w:rsidRPr="00064A20">
        <w:rPr>
          <w:rFonts w:cstheme="minorHAnsi"/>
        </w:rPr>
        <w:t>ln[</w:t>
      </w:r>
      <w:proofErr w:type="gramEnd"/>
      <w:r w:rsidR="00C903CC" w:rsidRPr="00064A20">
        <w:rPr>
          <w:rFonts w:cstheme="minorHAnsi"/>
        </w:rPr>
        <w:t xml:space="preserve">18^2/(19*20)]} / {0.4*root of 0.25}) + 0.5 * </w:t>
      </w:r>
      <w:r w:rsidR="00C903CC" w:rsidRPr="00064A20">
        <w:rPr>
          <w:rFonts w:cstheme="minorHAnsi"/>
        </w:rPr>
        <w:t>{0.4</w:t>
      </w:r>
      <w:r w:rsidR="00C903CC" w:rsidRPr="00064A20">
        <w:rPr>
          <w:rFonts w:cstheme="minorHAnsi"/>
        </w:rPr>
        <w:t>*</w:t>
      </w:r>
      <w:r w:rsidR="00C903CC" w:rsidRPr="00064A20">
        <w:rPr>
          <w:rFonts w:cstheme="minorHAnsi"/>
        </w:rPr>
        <w:t>root of 0.25}</w:t>
      </w:r>
    </w:p>
    <w:p w14:paraId="30D3CC90" w14:textId="77777777" w:rsidR="00C903CC" w:rsidRPr="00064A20" w:rsidRDefault="00C903CC" w:rsidP="00F34452">
      <w:pPr>
        <w:spacing w:line="276" w:lineRule="auto"/>
        <w:jc w:val="both"/>
        <w:rPr>
          <w:rFonts w:cstheme="minorHAnsi"/>
        </w:rPr>
      </w:pPr>
      <w:r w:rsidRPr="00064A20">
        <w:rPr>
          <w:rFonts w:cstheme="minorHAnsi"/>
        </w:rPr>
        <w:lastRenderedPageBreak/>
        <w:t>Therefore y = -0.69714</w:t>
      </w:r>
    </w:p>
    <w:p w14:paraId="3145445C" w14:textId="739CFE22" w:rsidR="00F34452" w:rsidRPr="00064A20" w:rsidRDefault="00C903CC" w:rsidP="00F34452">
      <w:pPr>
        <w:spacing w:line="276" w:lineRule="auto"/>
        <w:jc w:val="both"/>
        <w:rPr>
          <w:rFonts w:cstheme="minorHAnsi"/>
        </w:rPr>
      </w:pPr>
      <w:r w:rsidRPr="00064A20">
        <w:rPr>
          <w:rFonts w:cstheme="minorHAnsi"/>
        </w:rPr>
        <w:t xml:space="preserve">The value of a down and out </w:t>
      </w:r>
      <w:proofErr w:type="gramStart"/>
      <w:r w:rsidRPr="00064A20">
        <w:rPr>
          <w:rFonts w:cstheme="minorHAnsi"/>
        </w:rPr>
        <w:t>call</w:t>
      </w:r>
      <w:proofErr w:type="gramEnd"/>
      <w:r w:rsidRPr="00064A20">
        <w:rPr>
          <w:rFonts w:cstheme="minorHAnsi"/>
        </w:rPr>
        <w:t xml:space="preserve"> plus a down and in call equals the value of a normal call. using the formula H &lt; K we get C di = 0.4638. The regular </w:t>
      </w:r>
      <w:r w:rsidR="00FB536E" w:rsidRPr="00064A20">
        <w:rPr>
          <w:rFonts w:cstheme="minorHAnsi"/>
        </w:rPr>
        <w:t>Black – Scholes – Merton formula gives c = 1.0902. hence, C d0 = 0.6264.</w:t>
      </w:r>
    </w:p>
    <w:p w14:paraId="5994359F" w14:textId="77777777" w:rsidR="00172612" w:rsidRPr="00064A20" w:rsidRDefault="00172612" w:rsidP="00172612">
      <w:pPr>
        <w:pStyle w:val="NoSpacing"/>
        <w:rPr>
          <w:rFonts w:cstheme="minorHAnsi"/>
          <w:b/>
          <w:bCs/>
        </w:rPr>
      </w:pPr>
    </w:p>
    <w:p w14:paraId="0256DB92" w14:textId="77777777" w:rsidR="00FB536E" w:rsidRPr="00064A20" w:rsidRDefault="00172612" w:rsidP="00FB536E">
      <w:pPr>
        <w:pStyle w:val="NoSpacing"/>
        <w:rPr>
          <w:rFonts w:cstheme="minorHAnsi"/>
        </w:rPr>
      </w:pPr>
      <w:r w:rsidRPr="00064A20">
        <w:rPr>
          <w:rFonts w:cstheme="minorHAnsi"/>
          <w:b/>
          <w:bCs/>
        </w:rPr>
        <w:t>Q10</w:t>
      </w:r>
      <w:r w:rsidR="00FB536E" w:rsidRPr="00064A20">
        <w:rPr>
          <w:rFonts w:cstheme="minorHAnsi"/>
          <w:b/>
          <w:bCs/>
        </w:rPr>
        <w:t>.i</w:t>
      </w:r>
      <w:r w:rsidRPr="00064A20">
        <w:rPr>
          <w:rFonts w:cstheme="minorHAnsi"/>
          <w:b/>
          <w:bCs/>
        </w:rPr>
        <w:t>)</w:t>
      </w:r>
      <w:r w:rsidR="00FB536E" w:rsidRPr="00064A20">
        <w:rPr>
          <w:rFonts w:cstheme="minorHAnsi"/>
          <w:b/>
          <w:bCs/>
        </w:rPr>
        <w:t xml:space="preserve"> </w:t>
      </w:r>
      <w:r w:rsidR="00FB536E" w:rsidRPr="00064A20">
        <w:rPr>
          <w:rFonts w:cstheme="minorHAnsi"/>
        </w:rPr>
        <w:t xml:space="preserve">Portfolio performance measures are a key factor in the investment decision. These tools provide the necessary information for investors to </w:t>
      </w:r>
      <w:r w:rsidR="00FB536E" w:rsidRPr="00064A20">
        <w:rPr>
          <w:rFonts w:cstheme="minorHAnsi"/>
        </w:rPr>
        <w:t>assess</w:t>
      </w:r>
      <w:r w:rsidR="00FB536E" w:rsidRPr="00064A20">
        <w:rPr>
          <w:rFonts w:cstheme="minorHAnsi"/>
        </w:rPr>
        <w:t xml:space="preserve"> how effectively their money had been or may be invested. </w:t>
      </w:r>
    </w:p>
    <w:p w14:paraId="38792336" w14:textId="4ABAFBB3" w:rsidR="00FB536E" w:rsidRPr="00064A20" w:rsidRDefault="00FB536E" w:rsidP="00FB536E">
      <w:pPr>
        <w:pStyle w:val="NoSpacing"/>
        <w:rPr>
          <w:rFonts w:cstheme="minorHAnsi"/>
        </w:rPr>
      </w:pPr>
      <w:r w:rsidRPr="00064A20">
        <w:rPr>
          <w:rFonts w:cstheme="minorHAnsi"/>
        </w:rPr>
        <w:t xml:space="preserve">There are various reasons why the performance of an investment portfolio will be measured. </w:t>
      </w:r>
    </w:p>
    <w:p w14:paraId="20300751" w14:textId="77777777" w:rsidR="00FB536E" w:rsidRPr="00064A20" w:rsidRDefault="00FB536E" w:rsidP="00FB536E">
      <w:pPr>
        <w:pStyle w:val="ListParagraph"/>
        <w:numPr>
          <w:ilvl w:val="0"/>
          <w:numId w:val="19"/>
        </w:numPr>
        <w:spacing w:line="256" w:lineRule="auto"/>
        <w:rPr>
          <w:rFonts w:cstheme="minorHAnsi"/>
        </w:rPr>
      </w:pPr>
      <w:r w:rsidRPr="00064A20">
        <w:rPr>
          <w:rFonts w:cstheme="minorHAnsi"/>
        </w:rPr>
        <w:t xml:space="preserve">To improve future performance </w:t>
      </w:r>
    </w:p>
    <w:p w14:paraId="7D93BEF4" w14:textId="61AF612E" w:rsidR="00FB536E" w:rsidRPr="00064A20" w:rsidRDefault="00FB536E" w:rsidP="00FB536E">
      <w:pPr>
        <w:pStyle w:val="ListParagraph"/>
        <w:numPr>
          <w:ilvl w:val="0"/>
          <w:numId w:val="19"/>
        </w:numPr>
        <w:spacing w:line="256" w:lineRule="auto"/>
        <w:rPr>
          <w:rFonts w:cstheme="minorHAnsi"/>
        </w:rPr>
      </w:pPr>
      <w:r w:rsidRPr="00064A20">
        <w:rPr>
          <w:rFonts w:cstheme="minorHAnsi"/>
        </w:rPr>
        <w:t>Comparison of the rate achieved against a target rate</w:t>
      </w:r>
    </w:p>
    <w:p w14:paraId="3BB66A4A" w14:textId="27703423" w:rsidR="00FB536E" w:rsidRPr="00064A20" w:rsidRDefault="00FB536E" w:rsidP="00FB536E">
      <w:pPr>
        <w:pStyle w:val="ListParagraph"/>
        <w:numPr>
          <w:ilvl w:val="0"/>
          <w:numId w:val="19"/>
        </w:numPr>
        <w:spacing w:line="256" w:lineRule="auto"/>
        <w:rPr>
          <w:rFonts w:cstheme="minorHAnsi"/>
        </w:rPr>
      </w:pPr>
      <w:r w:rsidRPr="00064A20">
        <w:rPr>
          <w:rFonts w:cstheme="minorHAnsi"/>
        </w:rPr>
        <w:t>Comparison against the performance of other portfolios, an index and/or a benchmark</w:t>
      </w:r>
      <w:r w:rsidRPr="00064A20">
        <w:rPr>
          <w:rFonts w:cstheme="minorHAnsi"/>
        </w:rPr>
        <w:t xml:space="preserve"> </w:t>
      </w:r>
      <w:r w:rsidRPr="00064A20">
        <w:rPr>
          <w:rFonts w:cstheme="minorHAnsi"/>
        </w:rPr>
        <w:t>portfolio.</w:t>
      </w:r>
    </w:p>
    <w:p w14:paraId="168CF1B1" w14:textId="07473E79" w:rsidR="00FB536E" w:rsidRPr="00064A20" w:rsidRDefault="00FB536E" w:rsidP="00FB536E">
      <w:pPr>
        <w:pStyle w:val="ListParagraph"/>
        <w:numPr>
          <w:ilvl w:val="0"/>
          <w:numId w:val="19"/>
        </w:numPr>
        <w:spacing w:line="256" w:lineRule="auto"/>
        <w:rPr>
          <w:rFonts w:cstheme="minorHAnsi"/>
        </w:rPr>
      </w:pPr>
      <w:r w:rsidRPr="00064A20">
        <w:rPr>
          <w:rFonts w:cstheme="minorHAnsi"/>
        </w:rPr>
        <w:t>To appraise and remunerate investment managers</w:t>
      </w:r>
      <w:r w:rsidRPr="00064A20">
        <w:rPr>
          <w:rFonts w:cstheme="minorHAnsi"/>
        </w:rPr>
        <w:t>.</w:t>
      </w:r>
    </w:p>
    <w:p w14:paraId="3B1C06AA" w14:textId="77777777" w:rsidR="00FB536E" w:rsidRPr="00064A20" w:rsidRDefault="00FB536E" w:rsidP="00FB536E">
      <w:pPr>
        <w:rPr>
          <w:rFonts w:cstheme="minorHAnsi"/>
        </w:rPr>
      </w:pPr>
      <w:r w:rsidRPr="00064A20">
        <w:rPr>
          <w:rFonts w:cstheme="minorHAnsi"/>
          <w:b/>
          <w:bCs/>
        </w:rPr>
        <w:t xml:space="preserve">ii) </w:t>
      </w:r>
      <w:r w:rsidRPr="00064A20">
        <w:rPr>
          <w:rFonts w:cstheme="minorHAnsi"/>
        </w:rPr>
        <w:t>There are several limitations and disadvantages of portfolio performance measurement.</w:t>
      </w:r>
    </w:p>
    <w:p w14:paraId="3D3884E5" w14:textId="77777777" w:rsidR="00FB536E" w:rsidRPr="00064A20" w:rsidRDefault="00FB536E" w:rsidP="00FB536E">
      <w:pPr>
        <w:pStyle w:val="ListParagraph"/>
        <w:numPr>
          <w:ilvl w:val="0"/>
          <w:numId w:val="20"/>
        </w:numPr>
        <w:spacing w:line="256" w:lineRule="auto"/>
        <w:rPr>
          <w:rFonts w:cstheme="minorHAnsi"/>
        </w:rPr>
      </w:pPr>
      <w:r w:rsidRPr="00064A20">
        <w:rPr>
          <w:rFonts w:cstheme="minorHAnsi"/>
        </w:rPr>
        <w:t>Projection of past results</w:t>
      </w:r>
    </w:p>
    <w:p w14:paraId="3C4F1690" w14:textId="77777777" w:rsidR="00FB536E" w:rsidRPr="00064A20" w:rsidRDefault="00FB536E" w:rsidP="00FB536E">
      <w:pPr>
        <w:pStyle w:val="ListParagraph"/>
        <w:numPr>
          <w:ilvl w:val="0"/>
          <w:numId w:val="21"/>
        </w:numPr>
        <w:spacing w:line="256" w:lineRule="auto"/>
        <w:rPr>
          <w:rFonts w:cstheme="minorHAnsi"/>
        </w:rPr>
      </w:pPr>
      <w:r w:rsidRPr="00064A20">
        <w:rPr>
          <w:rFonts w:cstheme="minorHAnsi"/>
        </w:rPr>
        <w:t>The fact that a particular result was attained in the past does not mean that it will occur in the future. There is a random element in investment returns and it may be difficult to determine how much a fund manager's results are due to method and how much to luck. Furthermore, a technique that proved successful in a particular set of circumstances may not work so well in changed circumstances in the future.</w:t>
      </w:r>
    </w:p>
    <w:p w14:paraId="41217631" w14:textId="77777777" w:rsidR="00FB536E" w:rsidRPr="00064A20" w:rsidRDefault="00FB536E" w:rsidP="00FB536E">
      <w:pPr>
        <w:pStyle w:val="ListParagraph"/>
        <w:numPr>
          <w:ilvl w:val="0"/>
          <w:numId w:val="21"/>
        </w:numPr>
        <w:spacing w:line="256" w:lineRule="auto"/>
        <w:rPr>
          <w:rFonts w:cstheme="minorHAnsi"/>
        </w:rPr>
      </w:pPr>
      <w:r w:rsidRPr="00064A20">
        <w:rPr>
          <w:rFonts w:cstheme="minorHAnsi"/>
        </w:rPr>
        <w:t>So, past performance may be a poor guide to the future, and it may not be easy to distinguish good luck from skill.</w:t>
      </w:r>
    </w:p>
    <w:p w14:paraId="3BC01483" w14:textId="77777777" w:rsidR="00FB536E" w:rsidRPr="00064A20" w:rsidRDefault="00FB536E" w:rsidP="00FB536E">
      <w:pPr>
        <w:pStyle w:val="ListParagraph"/>
        <w:numPr>
          <w:ilvl w:val="0"/>
          <w:numId w:val="20"/>
        </w:numPr>
        <w:spacing w:line="256" w:lineRule="auto"/>
        <w:rPr>
          <w:rFonts w:cstheme="minorHAnsi"/>
        </w:rPr>
      </w:pPr>
      <w:r w:rsidRPr="00064A20">
        <w:rPr>
          <w:rFonts w:cstheme="minorHAnsi"/>
        </w:rPr>
        <w:t>Risk</w:t>
      </w:r>
    </w:p>
    <w:p w14:paraId="52DFAFD8" w14:textId="77777777" w:rsidR="00FB536E" w:rsidRPr="00064A20" w:rsidRDefault="00FB536E" w:rsidP="00FB536E">
      <w:pPr>
        <w:pStyle w:val="ListParagraph"/>
        <w:numPr>
          <w:ilvl w:val="0"/>
          <w:numId w:val="22"/>
        </w:numPr>
        <w:spacing w:line="256" w:lineRule="auto"/>
        <w:rPr>
          <w:rFonts w:cstheme="minorHAnsi"/>
        </w:rPr>
      </w:pPr>
      <w:r w:rsidRPr="00064A20">
        <w:rPr>
          <w:rFonts w:cstheme="minorHAnsi"/>
        </w:rPr>
        <w:t>In the long term we would expect a riskier strategy to produce higher average returns. The measurement of relative performance should therefore take account of the degree of risk taken on by a fund manager.</w:t>
      </w:r>
    </w:p>
    <w:p w14:paraId="6A69CB88" w14:textId="77777777" w:rsidR="00FB536E" w:rsidRPr="00064A20" w:rsidRDefault="00FB536E" w:rsidP="00FB536E">
      <w:pPr>
        <w:pStyle w:val="ListParagraph"/>
        <w:numPr>
          <w:ilvl w:val="0"/>
          <w:numId w:val="22"/>
        </w:numPr>
        <w:spacing w:line="256" w:lineRule="auto"/>
        <w:rPr>
          <w:rFonts w:cstheme="minorHAnsi"/>
        </w:rPr>
      </w:pPr>
      <w:r w:rsidRPr="00064A20">
        <w:rPr>
          <w:rFonts w:cstheme="minorHAnsi"/>
        </w:rPr>
        <w:t xml:space="preserve">When a fund manager invests largely in high-risk investments. there are likely to be implications for the relative performance of the fund manager in performance measurement tables: </w:t>
      </w:r>
      <w:r w:rsidRPr="00064A20">
        <w:rPr>
          <w:rFonts w:cstheme="minorHAnsi"/>
        </w:rPr>
        <w:sym w:font="Symbol" w:char="F0D8"/>
      </w:r>
      <w:r w:rsidRPr="00064A20">
        <w:rPr>
          <w:rFonts w:cstheme="minorHAnsi"/>
        </w:rPr>
        <w:t xml:space="preserve"> In the very long term, the manager should achieve a higher rate of return. </w:t>
      </w:r>
      <w:r w:rsidRPr="00064A20">
        <w:rPr>
          <w:rFonts w:cstheme="minorHAnsi"/>
        </w:rPr>
        <w:sym w:font="Symbol" w:char="F0D8"/>
      </w:r>
      <w:r w:rsidRPr="00064A20">
        <w:rPr>
          <w:rFonts w:cstheme="minorHAnsi"/>
        </w:rPr>
        <w:t xml:space="preserve"> In short-term periods. the results will probably be more volatile. There may be some periods of excellent results and other periods of very poor results.</w:t>
      </w:r>
    </w:p>
    <w:p w14:paraId="77B206FB" w14:textId="77777777" w:rsidR="00FB536E" w:rsidRPr="00064A20" w:rsidRDefault="00FB536E" w:rsidP="00FB536E">
      <w:pPr>
        <w:pStyle w:val="ListParagraph"/>
        <w:numPr>
          <w:ilvl w:val="0"/>
          <w:numId w:val="20"/>
        </w:numPr>
        <w:spacing w:line="256" w:lineRule="auto"/>
        <w:rPr>
          <w:rFonts w:cstheme="minorHAnsi"/>
        </w:rPr>
      </w:pPr>
      <w:r w:rsidRPr="00064A20">
        <w:rPr>
          <w:rFonts w:cstheme="minorHAnsi"/>
        </w:rPr>
        <w:t>Timescale</w:t>
      </w:r>
    </w:p>
    <w:p w14:paraId="03C2BE94" w14:textId="77777777" w:rsidR="00FB536E" w:rsidRPr="00064A20" w:rsidRDefault="00FB536E" w:rsidP="00FB536E">
      <w:pPr>
        <w:pStyle w:val="ListParagraph"/>
        <w:numPr>
          <w:ilvl w:val="0"/>
          <w:numId w:val="23"/>
        </w:numPr>
        <w:spacing w:line="256" w:lineRule="auto"/>
        <w:rPr>
          <w:rFonts w:cstheme="minorHAnsi"/>
        </w:rPr>
      </w:pPr>
      <w:r w:rsidRPr="00064A20">
        <w:rPr>
          <w:rFonts w:cstheme="minorHAnsi"/>
        </w:rPr>
        <w:t>Determining the frequency of performance measurement calculations requires a delicate balance between assessing performance frequently enough so that problems can be spotted and corrected and avoiding spurious conclusions based on too short a measurement period.</w:t>
      </w:r>
    </w:p>
    <w:p w14:paraId="6115DCC0" w14:textId="77777777" w:rsidR="00FB536E" w:rsidRPr="00064A20" w:rsidRDefault="00FB536E" w:rsidP="00FB536E">
      <w:pPr>
        <w:pStyle w:val="ListParagraph"/>
        <w:numPr>
          <w:ilvl w:val="0"/>
          <w:numId w:val="23"/>
        </w:numPr>
        <w:spacing w:line="256" w:lineRule="auto"/>
        <w:rPr>
          <w:rFonts w:cstheme="minorHAnsi"/>
        </w:rPr>
      </w:pPr>
      <w:r w:rsidRPr="00064A20">
        <w:rPr>
          <w:rFonts w:cstheme="minorHAnsi"/>
        </w:rPr>
        <w:t>It might take five years to obtain data that gives a reliable verdict on a particular fund manager. However. the trustees of a pension fund should not have to wait for five years before they realize that the assets are being poorly managed.</w:t>
      </w:r>
    </w:p>
    <w:p w14:paraId="1EC2994E" w14:textId="77777777" w:rsidR="00FB536E" w:rsidRPr="00064A20" w:rsidRDefault="00FB536E" w:rsidP="00FB536E">
      <w:pPr>
        <w:pStyle w:val="ListParagraph"/>
        <w:numPr>
          <w:ilvl w:val="0"/>
          <w:numId w:val="23"/>
        </w:numPr>
        <w:spacing w:line="256" w:lineRule="auto"/>
        <w:rPr>
          <w:rFonts w:cstheme="minorHAnsi"/>
        </w:rPr>
      </w:pPr>
      <w:r w:rsidRPr="00064A20">
        <w:rPr>
          <w:rFonts w:cstheme="minorHAnsi"/>
        </w:rPr>
        <w:t>In practice. may pension fund investment valuations are carried out each quarter, with analyses over a variety of periods (e.g. 3 months, 1 year. 3 y ears. 5 years, 10 years).</w:t>
      </w:r>
    </w:p>
    <w:p w14:paraId="2A7FF9DD" w14:textId="77777777" w:rsidR="00FB536E" w:rsidRPr="00064A20" w:rsidRDefault="00FB536E" w:rsidP="00FB536E">
      <w:pPr>
        <w:pStyle w:val="ListParagraph"/>
        <w:numPr>
          <w:ilvl w:val="0"/>
          <w:numId w:val="23"/>
        </w:numPr>
        <w:spacing w:line="256" w:lineRule="auto"/>
        <w:rPr>
          <w:rFonts w:cstheme="minorHAnsi"/>
        </w:rPr>
      </w:pPr>
      <w:r w:rsidRPr="00064A20">
        <w:rPr>
          <w:rFonts w:cstheme="minorHAnsi"/>
        </w:rPr>
        <w:lastRenderedPageBreak/>
        <w:t xml:space="preserve">The users of these analyses therefore have: </w:t>
      </w:r>
      <w:r w:rsidRPr="00064A20">
        <w:rPr>
          <w:rFonts w:cstheme="minorHAnsi"/>
        </w:rPr>
        <w:sym w:font="Symbol" w:char="F0D8"/>
      </w:r>
      <w:r w:rsidRPr="00064A20">
        <w:rPr>
          <w:rFonts w:cstheme="minorHAnsi"/>
        </w:rPr>
        <w:t xml:space="preserve"> the regular data they need to stay informed </w:t>
      </w:r>
      <w:r w:rsidRPr="00064A20">
        <w:rPr>
          <w:rFonts w:cstheme="minorHAnsi"/>
        </w:rPr>
        <w:sym w:font="Symbol" w:char="F0D8"/>
      </w:r>
      <w:r w:rsidRPr="00064A20">
        <w:rPr>
          <w:rFonts w:cstheme="minorHAnsi"/>
        </w:rPr>
        <w:t xml:space="preserve"> the longer-term data to help make judgements.</w:t>
      </w:r>
    </w:p>
    <w:p w14:paraId="0AA1536D" w14:textId="77777777" w:rsidR="00FB536E" w:rsidRPr="00064A20" w:rsidRDefault="00FB536E" w:rsidP="00FB536E">
      <w:pPr>
        <w:pStyle w:val="ListParagraph"/>
        <w:numPr>
          <w:ilvl w:val="0"/>
          <w:numId w:val="23"/>
        </w:numPr>
        <w:spacing w:line="256" w:lineRule="auto"/>
        <w:rPr>
          <w:rFonts w:cstheme="minorHAnsi"/>
        </w:rPr>
      </w:pPr>
      <w:r w:rsidRPr="00064A20">
        <w:rPr>
          <w:rFonts w:cstheme="minorHAnsi"/>
        </w:rPr>
        <w:t>They should resist the temptation of making bold conclusions from the very short-term data.</w:t>
      </w:r>
    </w:p>
    <w:p w14:paraId="6A0A42A7" w14:textId="77777777" w:rsidR="00FB536E" w:rsidRPr="00064A20" w:rsidRDefault="00FB536E" w:rsidP="00FB536E">
      <w:pPr>
        <w:pStyle w:val="ListParagraph"/>
        <w:numPr>
          <w:ilvl w:val="0"/>
          <w:numId w:val="20"/>
        </w:numPr>
        <w:spacing w:line="256" w:lineRule="auto"/>
        <w:rPr>
          <w:rFonts w:cstheme="minorHAnsi"/>
        </w:rPr>
      </w:pPr>
      <w:r w:rsidRPr="00064A20">
        <w:rPr>
          <w:rFonts w:cstheme="minorHAnsi"/>
        </w:rPr>
        <w:t>Differing fund objectives</w:t>
      </w:r>
    </w:p>
    <w:p w14:paraId="26ABFA81" w14:textId="77777777" w:rsidR="00FB536E" w:rsidRPr="00064A20" w:rsidRDefault="00FB536E" w:rsidP="00FB536E">
      <w:pPr>
        <w:pStyle w:val="ListParagraph"/>
        <w:numPr>
          <w:ilvl w:val="0"/>
          <w:numId w:val="24"/>
        </w:numPr>
        <w:spacing w:line="256" w:lineRule="auto"/>
        <w:rPr>
          <w:rFonts w:cstheme="minorHAnsi"/>
        </w:rPr>
      </w:pPr>
      <w:r w:rsidRPr="00064A20">
        <w:rPr>
          <w:rFonts w:cstheme="minorHAnsi"/>
        </w:rPr>
        <w:t>Different funds may have different objectives and constraints. Comparisons between such funds may not be valid.</w:t>
      </w:r>
    </w:p>
    <w:p w14:paraId="2EB5E7AD" w14:textId="77777777" w:rsidR="00FB536E" w:rsidRPr="00064A20" w:rsidRDefault="00FB536E" w:rsidP="00FB536E">
      <w:pPr>
        <w:pStyle w:val="ListParagraph"/>
        <w:numPr>
          <w:ilvl w:val="0"/>
          <w:numId w:val="24"/>
        </w:numPr>
        <w:spacing w:line="256" w:lineRule="auto"/>
        <w:rPr>
          <w:rFonts w:cstheme="minorHAnsi"/>
        </w:rPr>
      </w:pPr>
      <w:r w:rsidRPr="00064A20">
        <w:rPr>
          <w:rFonts w:cstheme="minorHAnsi"/>
        </w:rPr>
        <w:t xml:space="preserve">The main difference will often be that the liabilities underlying one fund may differ from those underlying another. There may also be other reasons why different funds cannot be directly compared: </w:t>
      </w:r>
      <w:r w:rsidRPr="00064A20">
        <w:rPr>
          <w:rFonts w:cstheme="minorHAnsi"/>
        </w:rPr>
        <w:sym w:font="Symbol" w:char="F0D8"/>
      </w:r>
      <w:r w:rsidRPr="00064A20">
        <w:rPr>
          <w:rFonts w:cstheme="minorHAnsi"/>
        </w:rPr>
        <w:t xml:space="preserve"> different constraints imposed by the directors or trustees </w:t>
      </w:r>
      <w:r w:rsidRPr="00064A20">
        <w:rPr>
          <w:rFonts w:cstheme="minorHAnsi"/>
        </w:rPr>
        <w:sym w:font="Symbol" w:char="F0D8"/>
      </w:r>
      <w:r w:rsidRPr="00064A20">
        <w:rPr>
          <w:rFonts w:cstheme="minorHAnsi"/>
        </w:rPr>
        <w:t xml:space="preserve"> different taxation positions (</w:t>
      </w:r>
      <w:proofErr w:type="spellStart"/>
      <w:r w:rsidRPr="00064A20">
        <w:rPr>
          <w:rFonts w:cstheme="minorHAnsi"/>
        </w:rPr>
        <w:t>eg</w:t>
      </w:r>
      <w:proofErr w:type="spellEnd"/>
      <w:r w:rsidRPr="00064A20">
        <w:rPr>
          <w:rFonts w:cstheme="minorHAnsi"/>
        </w:rPr>
        <w:t xml:space="preserve"> this may apply for insurance companies where the tax positions may vary from one office to another).</w:t>
      </w:r>
    </w:p>
    <w:p w14:paraId="1385B643" w14:textId="77777777" w:rsidR="00FB536E" w:rsidRPr="00064A20" w:rsidRDefault="00FB536E" w:rsidP="00FB536E">
      <w:pPr>
        <w:pStyle w:val="ListParagraph"/>
        <w:numPr>
          <w:ilvl w:val="0"/>
          <w:numId w:val="24"/>
        </w:numPr>
        <w:spacing w:line="256" w:lineRule="auto"/>
        <w:rPr>
          <w:rFonts w:cstheme="minorHAnsi"/>
        </w:rPr>
      </w:pPr>
      <w:r w:rsidRPr="00064A20">
        <w:rPr>
          <w:rFonts w:cstheme="minorHAnsi"/>
        </w:rPr>
        <w:t>Comparisons between different unit-linked funds and collective investment vehicles is clearly sensible only if they have similar investment objectives.</w:t>
      </w:r>
    </w:p>
    <w:p w14:paraId="0BADD6B9" w14:textId="77777777" w:rsidR="00FB536E" w:rsidRPr="00064A20" w:rsidRDefault="00FB536E" w:rsidP="00FB536E">
      <w:pPr>
        <w:pStyle w:val="ListParagraph"/>
        <w:numPr>
          <w:ilvl w:val="0"/>
          <w:numId w:val="24"/>
        </w:numPr>
        <w:spacing w:line="256" w:lineRule="auto"/>
        <w:rPr>
          <w:rFonts w:cstheme="minorHAnsi"/>
        </w:rPr>
      </w:pPr>
      <w:r w:rsidRPr="00064A20">
        <w:rPr>
          <w:rFonts w:cstheme="minorHAnsi"/>
        </w:rPr>
        <w:t>You may also come across "different cashflow" and "different size of fund" as reasons why different funds cannot be validly compared. In practice. these two factors should not really invalidate comparison between the investment returns achieved by different.</w:t>
      </w:r>
    </w:p>
    <w:p w14:paraId="27133B65" w14:textId="0BFA8872" w:rsidR="00FB536E" w:rsidRPr="00064A20" w:rsidRDefault="00FB536E" w:rsidP="00FB536E">
      <w:pPr>
        <w:pStyle w:val="ListParagraph"/>
        <w:numPr>
          <w:ilvl w:val="0"/>
          <w:numId w:val="20"/>
        </w:numPr>
        <w:spacing w:line="256" w:lineRule="auto"/>
        <w:rPr>
          <w:rFonts w:cstheme="minorHAnsi"/>
        </w:rPr>
      </w:pPr>
      <w:r w:rsidRPr="00064A20">
        <w:rPr>
          <w:rFonts w:cstheme="minorHAnsi"/>
        </w:rPr>
        <w:t>Impact on fund manager behavior</w:t>
      </w:r>
    </w:p>
    <w:p w14:paraId="27DA5068" w14:textId="77777777" w:rsidR="00FB536E" w:rsidRPr="00064A20" w:rsidRDefault="00FB536E" w:rsidP="00FB536E">
      <w:pPr>
        <w:pStyle w:val="ListParagraph"/>
        <w:numPr>
          <w:ilvl w:val="0"/>
          <w:numId w:val="25"/>
        </w:numPr>
        <w:spacing w:line="256" w:lineRule="auto"/>
        <w:rPr>
          <w:rFonts w:cstheme="minorHAnsi"/>
        </w:rPr>
      </w:pPr>
      <w:r w:rsidRPr="00064A20">
        <w:rPr>
          <w:rFonts w:cstheme="minorHAnsi"/>
        </w:rPr>
        <w:t>Knowledge of how and how often he will be assessed is likely to influence the investment strategy of a manager. This may not be in the fund's best interests. For example, frequent monitoring can encourage a short-term approach to investment.</w:t>
      </w:r>
    </w:p>
    <w:p w14:paraId="7D4B80E4" w14:textId="77777777" w:rsidR="00FB536E" w:rsidRPr="00064A20" w:rsidRDefault="00FB536E" w:rsidP="00FB536E">
      <w:pPr>
        <w:pStyle w:val="ListParagraph"/>
        <w:numPr>
          <w:ilvl w:val="0"/>
          <w:numId w:val="25"/>
        </w:numPr>
        <w:spacing w:line="256" w:lineRule="auto"/>
        <w:rPr>
          <w:rFonts w:cstheme="minorHAnsi"/>
        </w:rPr>
      </w:pPr>
      <w:r w:rsidRPr="00064A20">
        <w:rPr>
          <w:rFonts w:cstheme="minorHAnsi"/>
        </w:rPr>
        <w:t>Some people will argue that this may mean that the long-term performance of the fund could be sacrificed. Others would argue that it is not a problem because the long run is simply a series of short runs.</w:t>
      </w:r>
    </w:p>
    <w:p w14:paraId="549CA63C" w14:textId="77777777" w:rsidR="00FB536E" w:rsidRPr="00064A20" w:rsidRDefault="00FB536E" w:rsidP="00FB536E">
      <w:pPr>
        <w:pStyle w:val="ListParagraph"/>
        <w:numPr>
          <w:ilvl w:val="0"/>
          <w:numId w:val="25"/>
        </w:numPr>
        <w:spacing w:line="256" w:lineRule="auto"/>
        <w:rPr>
          <w:rFonts w:cstheme="minorHAnsi"/>
        </w:rPr>
      </w:pPr>
      <w:r w:rsidRPr="00064A20">
        <w:rPr>
          <w:rFonts w:cstheme="minorHAnsi"/>
        </w:rPr>
        <w:t>More generally, the investment management decisions should be driven entirely a desire to meet the investor's objectives. It is therefore important to ensure that the mandate given to the investment manager is consistent with the investor's objectives.</w:t>
      </w:r>
    </w:p>
    <w:p w14:paraId="18A22BEF" w14:textId="77777777" w:rsidR="00FB536E" w:rsidRPr="00064A20" w:rsidRDefault="00FB536E" w:rsidP="00FB536E">
      <w:pPr>
        <w:pStyle w:val="ListParagraph"/>
        <w:numPr>
          <w:ilvl w:val="0"/>
          <w:numId w:val="20"/>
        </w:numPr>
        <w:spacing w:line="256" w:lineRule="auto"/>
        <w:rPr>
          <w:rFonts w:cstheme="minorHAnsi"/>
        </w:rPr>
      </w:pPr>
      <w:r w:rsidRPr="00064A20">
        <w:rPr>
          <w:rFonts w:cstheme="minorHAnsi"/>
        </w:rPr>
        <w:t xml:space="preserve">Cost </w:t>
      </w:r>
    </w:p>
    <w:p w14:paraId="207C2507" w14:textId="025A4761" w:rsidR="00FB536E" w:rsidRPr="00064A20" w:rsidRDefault="00FB536E" w:rsidP="00FB536E">
      <w:pPr>
        <w:pStyle w:val="ListParagraph"/>
        <w:numPr>
          <w:ilvl w:val="0"/>
          <w:numId w:val="26"/>
        </w:numPr>
        <w:spacing w:line="256" w:lineRule="auto"/>
        <w:rPr>
          <w:rFonts w:cstheme="minorHAnsi"/>
        </w:rPr>
      </w:pPr>
      <w:r w:rsidRPr="00064A20">
        <w:rPr>
          <w:rFonts w:cstheme="minorHAnsi"/>
        </w:rPr>
        <w:t>Users of performance measurement services must balance the value of the service against the cost. Also, for several assets leg property), valuation is difficult, time-consuming and very subjective. Detailed, frequent calculations based on subjective valuations are inappropriate.</w:t>
      </w:r>
    </w:p>
    <w:p w14:paraId="0C42D767" w14:textId="229D8944" w:rsidR="0052078A" w:rsidRPr="00064A20" w:rsidRDefault="00FB536E" w:rsidP="0052078A">
      <w:pPr>
        <w:rPr>
          <w:rFonts w:cstheme="minorHAnsi"/>
        </w:rPr>
      </w:pPr>
      <w:r w:rsidRPr="00064A20">
        <w:rPr>
          <w:rFonts w:cstheme="minorHAnsi"/>
          <w:b/>
          <w:bCs/>
        </w:rPr>
        <w:t>i</w:t>
      </w:r>
      <w:r w:rsidR="0052078A" w:rsidRPr="00064A20">
        <w:rPr>
          <w:rFonts w:cstheme="minorHAnsi"/>
          <w:b/>
          <w:bCs/>
        </w:rPr>
        <w:t>v</w:t>
      </w:r>
      <w:r w:rsidRPr="00064A20">
        <w:rPr>
          <w:rFonts w:cstheme="minorHAnsi"/>
          <w:b/>
          <w:bCs/>
        </w:rPr>
        <w:t xml:space="preserve">) </w:t>
      </w:r>
      <w:r w:rsidR="0052078A" w:rsidRPr="00064A20">
        <w:rPr>
          <w:rFonts w:cstheme="minorHAnsi"/>
        </w:rPr>
        <w:t xml:space="preserve">Sharpe measures measure out-performance compared to the CAPM per unit risk. </w:t>
      </w:r>
      <w:proofErr w:type="spellStart"/>
      <w:r w:rsidR="0052078A" w:rsidRPr="00064A20">
        <w:rPr>
          <w:rFonts w:cstheme="minorHAnsi"/>
        </w:rPr>
        <w:t>ie</w:t>
      </w:r>
      <w:proofErr w:type="spellEnd"/>
      <w:r w:rsidR="0052078A" w:rsidRPr="00064A20">
        <w:rPr>
          <w:rFonts w:cstheme="minorHAnsi"/>
        </w:rPr>
        <w:t xml:space="preserve"> as a proportion of the return predicted by the CAPM. They can therefore be used to compare investment managers who have taken differing levels of risk.</w:t>
      </w:r>
      <w:r w:rsidR="0052078A" w:rsidRPr="00064A20">
        <w:rPr>
          <w:rFonts w:cstheme="minorHAnsi"/>
          <w:shd w:val="clear" w:color="auto" w:fill="F4F7FC"/>
        </w:rPr>
        <w:t xml:space="preserve"> </w:t>
      </w:r>
      <w:r w:rsidR="0052078A" w:rsidRPr="00064A20">
        <w:rPr>
          <w:rFonts w:cstheme="minorHAnsi"/>
          <w:shd w:val="clear" w:color="auto" w:fill="F4F7FC"/>
        </w:rPr>
        <w:t>The Sharpe Ratio is defined as the portfolio risk premium divided by the portfolio risk</w:t>
      </w:r>
      <w:r w:rsidR="0052078A" w:rsidRPr="00064A20">
        <w:rPr>
          <w:rFonts w:cstheme="minorHAnsi"/>
        </w:rPr>
        <w:t xml:space="preserve"> </w:t>
      </w:r>
      <w:r w:rsidR="0052078A" w:rsidRPr="00064A20">
        <w:rPr>
          <w:rFonts w:ascii="Cambria Math" w:hAnsi="Cambria Math" w:cs="Cambria Math"/>
        </w:rPr>
        <w:t>𝑺</w:t>
      </w:r>
      <w:r w:rsidR="0052078A" w:rsidRPr="00064A20">
        <w:rPr>
          <w:rFonts w:cstheme="minorHAnsi"/>
        </w:rPr>
        <w:t xml:space="preserve"> = (</w:t>
      </w:r>
      <w:r w:rsidR="0052078A" w:rsidRPr="00064A20">
        <w:rPr>
          <w:rFonts w:ascii="Cambria Math" w:hAnsi="Cambria Math" w:cs="Cambria Math"/>
        </w:rPr>
        <w:t>𝑹𝒑</w:t>
      </w:r>
      <w:r w:rsidR="0052078A" w:rsidRPr="00064A20">
        <w:rPr>
          <w:rFonts w:cstheme="minorHAnsi"/>
        </w:rPr>
        <w:t xml:space="preserve"> – </w:t>
      </w:r>
      <w:r w:rsidR="0052078A" w:rsidRPr="00064A20">
        <w:rPr>
          <w:rFonts w:ascii="Cambria Math" w:hAnsi="Cambria Math" w:cs="Cambria Math"/>
        </w:rPr>
        <w:t>𝒓</w:t>
      </w:r>
      <w:r w:rsidR="0052078A" w:rsidRPr="00064A20">
        <w:rPr>
          <w:rFonts w:cstheme="minorHAnsi"/>
        </w:rPr>
        <w:t xml:space="preserve">)/ </w:t>
      </w:r>
      <w:r w:rsidR="0052078A" w:rsidRPr="00064A20">
        <w:rPr>
          <w:rFonts w:ascii="Cambria Math" w:hAnsi="Cambria Math" w:cs="Cambria Math"/>
        </w:rPr>
        <w:t>𝝈𝒑</w:t>
      </w:r>
    </w:p>
    <w:p w14:paraId="43FD7102" w14:textId="600A754C" w:rsidR="0052078A" w:rsidRPr="00064A20" w:rsidRDefault="0052078A" w:rsidP="0052078A">
      <w:pPr>
        <w:rPr>
          <w:rFonts w:cstheme="minorHAnsi"/>
        </w:rPr>
      </w:pPr>
      <w:r w:rsidRPr="00064A20">
        <w:rPr>
          <w:rFonts w:cstheme="minorHAnsi"/>
        </w:rPr>
        <w:t xml:space="preserve">Where </w:t>
      </w:r>
      <w:r w:rsidRPr="00064A20">
        <w:rPr>
          <w:rFonts w:ascii="Cambria Math" w:hAnsi="Cambria Math" w:cs="Cambria Math"/>
        </w:rPr>
        <w:t>𝜎𝑝</w:t>
      </w:r>
      <w:r w:rsidRPr="00064A20">
        <w:rPr>
          <w:rFonts w:cstheme="minorHAnsi"/>
        </w:rPr>
        <w:t xml:space="preserve"> is the standard deviation of the portfolio, and the other terms are as defined above.</w:t>
      </w:r>
    </w:p>
    <w:p w14:paraId="4A407FF5" w14:textId="350E2A29" w:rsidR="0052078A" w:rsidRPr="00064A20" w:rsidRDefault="0052078A" w:rsidP="0052078A">
      <w:pPr>
        <w:pStyle w:val="NoSpacing"/>
        <w:rPr>
          <w:rFonts w:cstheme="minorHAnsi"/>
        </w:rPr>
      </w:pPr>
      <w:r w:rsidRPr="00064A20">
        <w:rPr>
          <w:rFonts w:cstheme="minorHAnsi"/>
          <w:b/>
          <w:bCs/>
        </w:rPr>
        <w:t xml:space="preserve">v) </w:t>
      </w:r>
      <w:r w:rsidRPr="00064A20">
        <w:rPr>
          <w:rFonts w:cstheme="minorHAnsi"/>
        </w:rPr>
        <w:t>The Treynor ratio is an extension of the Sharpe ratio that, instead of using total risk, uses beta or systematic risk in the denominator. As such, this is better suited to investors who hold diversified portfolios.</w:t>
      </w:r>
      <w:r w:rsidRPr="00064A20">
        <w:rPr>
          <w:rFonts w:cstheme="minorHAnsi"/>
        </w:rPr>
        <w:t xml:space="preserve"> </w:t>
      </w:r>
      <w:r w:rsidRPr="00064A20">
        <w:rPr>
          <w:rFonts w:cstheme="minorHAnsi"/>
        </w:rPr>
        <w:t xml:space="preserve">As with the Sharpe ratio, the Treynor ratio requires positive numerators to give meaningful comparative results and, the Treynor ratio does not work for negative beta assets. Also, while both the Sharpe and Treynor ratios can rank portfolios, they do not provide information on whether the </w:t>
      </w:r>
      <w:r w:rsidRPr="00064A20">
        <w:rPr>
          <w:rFonts w:cstheme="minorHAnsi"/>
        </w:rPr>
        <w:lastRenderedPageBreak/>
        <w:t>portfolios are better than the market portfolio or information about the degree of superiority of a higher ratio portfolio over a lower ratio portfolio.</w:t>
      </w:r>
    </w:p>
    <w:p w14:paraId="7B744766" w14:textId="0A9692A1" w:rsidR="0052078A" w:rsidRPr="00064A20" w:rsidRDefault="0052078A" w:rsidP="0052078A">
      <w:pPr>
        <w:pStyle w:val="NoSpacing"/>
        <w:rPr>
          <w:rFonts w:cstheme="minorHAnsi"/>
        </w:rPr>
      </w:pPr>
      <w:r w:rsidRPr="00064A20">
        <w:rPr>
          <w:rFonts w:cstheme="minorHAnsi"/>
          <w:shd w:val="clear" w:color="auto" w:fill="F4F7FC"/>
        </w:rPr>
        <w:t>Jensen’s Alpha is based on systematic risk. The daily returns of the portfolio are regressed against the daily returns of the market in order to compute a measure of this systematic risk in the same manner as the CAPM. The difference between the actual return of the portfolio and the calculated or modeled risk-adjusted return is a measure of performance relative to the market.</w:t>
      </w:r>
      <w:r w:rsidRPr="00064A20">
        <w:rPr>
          <w:rFonts w:cstheme="minorHAnsi"/>
          <w:shd w:val="clear" w:color="auto" w:fill="F4F7FC"/>
        </w:rPr>
        <w:t xml:space="preserve"> </w:t>
      </w:r>
      <w:r w:rsidRPr="00064A20">
        <w:rPr>
          <w:rFonts w:cstheme="minorHAnsi"/>
          <w:shd w:val="clear" w:color="auto" w:fill="F4F7FC"/>
        </w:rPr>
        <w:t>The values of Alpha can also be used to rank portfolios or the managers of those portfolios, with the Alpha being a representation of the maximum an investor should pay for the active management of that portfolio.</w:t>
      </w:r>
    </w:p>
    <w:p w14:paraId="5C70FDE6" w14:textId="2779BE1C" w:rsidR="00FB536E" w:rsidRPr="00064A20" w:rsidRDefault="00FB536E" w:rsidP="0052078A">
      <w:pPr>
        <w:tabs>
          <w:tab w:val="left" w:pos="1575"/>
        </w:tabs>
        <w:spacing w:line="256" w:lineRule="auto"/>
        <w:rPr>
          <w:rFonts w:cstheme="minorHAnsi"/>
          <w:b/>
          <w:bCs/>
        </w:rPr>
      </w:pPr>
    </w:p>
    <w:p w14:paraId="040C92CB" w14:textId="77777777" w:rsidR="0052078A" w:rsidRPr="00064A20" w:rsidRDefault="0052078A" w:rsidP="0052078A">
      <w:pPr>
        <w:pStyle w:val="NormalWeb"/>
        <w:spacing w:before="0" w:beforeAutospacing="0" w:after="150" w:afterAutospacing="0"/>
        <w:rPr>
          <w:rFonts w:asciiTheme="minorHAnsi" w:hAnsiTheme="minorHAnsi" w:cstheme="minorHAnsi"/>
          <w:sz w:val="22"/>
          <w:szCs w:val="22"/>
        </w:rPr>
      </w:pPr>
      <w:r w:rsidRPr="00064A20">
        <w:rPr>
          <w:rFonts w:asciiTheme="minorHAnsi" w:hAnsiTheme="minorHAnsi" w:cstheme="minorHAnsi"/>
          <w:b/>
          <w:bCs/>
          <w:sz w:val="22"/>
          <w:szCs w:val="22"/>
        </w:rPr>
        <w:t xml:space="preserve">vi) </w:t>
      </w:r>
      <w:r w:rsidRPr="00064A20">
        <w:rPr>
          <w:rFonts w:asciiTheme="minorHAnsi" w:hAnsiTheme="minorHAnsi" w:cstheme="minorHAnsi"/>
          <w:sz w:val="22"/>
          <w:szCs w:val="22"/>
        </w:rPr>
        <w:t>Sharpe ratio makes use of return’s standard deviation in its denominator as a proxy of total risk of a portfolio. This assumes that returns on investment are normally distributed, but this is not always the case. In financial markets, the returns are skewed opposite of the average because there are generally a huge number of unexpected spikes and drops in prices.</w:t>
      </w:r>
    </w:p>
    <w:p w14:paraId="7168325C" w14:textId="77777777" w:rsidR="0052078A" w:rsidRPr="00064A20" w:rsidRDefault="0052078A" w:rsidP="0052078A">
      <w:pPr>
        <w:pStyle w:val="NormalWeb"/>
        <w:spacing w:before="0" w:beforeAutospacing="0" w:after="150" w:afterAutospacing="0"/>
        <w:rPr>
          <w:rFonts w:asciiTheme="minorHAnsi" w:hAnsiTheme="minorHAnsi" w:cstheme="minorHAnsi"/>
          <w:sz w:val="22"/>
          <w:szCs w:val="22"/>
        </w:rPr>
      </w:pPr>
      <w:r w:rsidRPr="00064A20">
        <w:rPr>
          <w:rFonts w:asciiTheme="minorHAnsi" w:hAnsiTheme="minorHAnsi" w:cstheme="minorHAnsi"/>
          <w:sz w:val="22"/>
          <w:szCs w:val="22"/>
        </w:rPr>
        <w:t>Portfolio’s managers can also manipulate the Sharpe ratio to show their apparent history of risk-adjusted returns in good light. Increasing the measurement interval is a way to do this but the estimate of volatility gets lowered.</w:t>
      </w:r>
    </w:p>
    <w:p w14:paraId="4560F19A" w14:textId="77777777" w:rsidR="0052078A" w:rsidRPr="00064A20" w:rsidRDefault="0052078A" w:rsidP="0052078A">
      <w:pPr>
        <w:pStyle w:val="NormalWeb"/>
        <w:spacing w:before="0" w:beforeAutospacing="0" w:after="150" w:afterAutospacing="0"/>
        <w:rPr>
          <w:rFonts w:asciiTheme="minorHAnsi" w:hAnsiTheme="minorHAnsi" w:cstheme="minorHAnsi"/>
          <w:sz w:val="22"/>
          <w:szCs w:val="22"/>
        </w:rPr>
      </w:pPr>
      <w:r w:rsidRPr="00064A20">
        <w:rPr>
          <w:rFonts w:asciiTheme="minorHAnsi" w:hAnsiTheme="minorHAnsi" w:cstheme="minorHAnsi"/>
          <w:sz w:val="22"/>
          <w:szCs w:val="22"/>
        </w:rPr>
        <w:t>Another way to show better looking data is picking up a period for data with the better value of Sharpe ratio rather than choosing a neutral period.</w:t>
      </w:r>
    </w:p>
    <w:p w14:paraId="64DAEE90" w14:textId="3321764A" w:rsidR="00FB536E" w:rsidRPr="00064A20" w:rsidRDefault="00FB536E" w:rsidP="00FB536E">
      <w:pPr>
        <w:spacing w:line="256" w:lineRule="auto"/>
        <w:rPr>
          <w:rFonts w:cstheme="minorHAnsi"/>
          <w:b/>
          <w:bCs/>
        </w:rPr>
      </w:pPr>
    </w:p>
    <w:p w14:paraId="45DB9D26" w14:textId="3B6D1A2C" w:rsidR="00FB536E" w:rsidRPr="00064A20" w:rsidRDefault="00FB536E" w:rsidP="00FB536E">
      <w:pPr>
        <w:pStyle w:val="NoSpacing"/>
        <w:rPr>
          <w:rFonts w:cstheme="minorHAnsi"/>
          <w:b/>
          <w:bCs/>
        </w:rPr>
      </w:pPr>
    </w:p>
    <w:sectPr w:rsidR="00FB536E" w:rsidRPr="00064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112"/>
    <w:multiLevelType w:val="hybridMultilevel"/>
    <w:tmpl w:val="56BAAB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1492A"/>
    <w:multiLevelType w:val="hybridMultilevel"/>
    <w:tmpl w:val="B30EC2EA"/>
    <w:lvl w:ilvl="0" w:tplc="396C594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622021"/>
    <w:multiLevelType w:val="hybridMultilevel"/>
    <w:tmpl w:val="899821BA"/>
    <w:lvl w:ilvl="0" w:tplc="24A2C22C">
      <w:start w:val="8"/>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6D53038"/>
    <w:multiLevelType w:val="hybridMultilevel"/>
    <w:tmpl w:val="2C70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328FE"/>
    <w:multiLevelType w:val="hybridMultilevel"/>
    <w:tmpl w:val="A0C6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527DE"/>
    <w:multiLevelType w:val="hybridMultilevel"/>
    <w:tmpl w:val="7D72249C"/>
    <w:lvl w:ilvl="0" w:tplc="479CB43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032564E"/>
    <w:multiLevelType w:val="hybridMultilevel"/>
    <w:tmpl w:val="84C6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346DA"/>
    <w:multiLevelType w:val="hybridMultilevel"/>
    <w:tmpl w:val="91C224A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A47ECD"/>
    <w:multiLevelType w:val="hybridMultilevel"/>
    <w:tmpl w:val="5B7AE738"/>
    <w:lvl w:ilvl="0" w:tplc="9306B65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5540B4B"/>
    <w:multiLevelType w:val="hybridMultilevel"/>
    <w:tmpl w:val="4DDC61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C747105"/>
    <w:multiLevelType w:val="hybridMultilevel"/>
    <w:tmpl w:val="C6E0F826"/>
    <w:lvl w:ilvl="0" w:tplc="5EA6606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8B17F14"/>
    <w:multiLevelType w:val="hybridMultilevel"/>
    <w:tmpl w:val="EA56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D42089"/>
    <w:multiLevelType w:val="hybridMultilevel"/>
    <w:tmpl w:val="40E4F2E2"/>
    <w:lvl w:ilvl="0" w:tplc="C5AAB14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2C63268"/>
    <w:multiLevelType w:val="hybridMultilevel"/>
    <w:tmpl w:val="DF2AF48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4" w15:restartNumberingAfterBreak="0">
    <w:nsid w:val="53F94255"/>
    <w:multiLevelType w:val="hybridMultilevel"/>
    <w:tmpl w:val="CE0AE036"/>
    <w:lvl w:ilvl="0" w:tplc="9E62AEF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59276B25"/>
    <w:multiLevelType w:val="hybridMultilevel"/>
    <w:tmpl w:val="66AC2B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E2BED"/>
    <w:multiLevelType w:val="hybridMultilevel"/>
    <w:tmpl w:val="FD30C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F569EB"/>
    <w:multiLevelType w:val="hybridMultilevel"/>
    <w:tmpl w:val="4CCE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176885"/>
    <w:multiLevelType w:val="hybridMultilevel"/>
    <w:tmpl w:val="EF1EEAAA"/>
    <w:lvl w:ilvl="0" w:tplc="40090001">
      <w:start w:val="1"/>
      <w:numFmt w:val="bullet"/>
      <w:lvlText w:val=""/>
      <w:lvlJc w:val="left"/>
      <w:pPr>
        <w:ind w:left="1429" w:hanging="360"/>
      </w:pPr>
      <w:rPr>
        <w:rFonts w:ascii="Symbol" w:hAnsi="Symbol" w:hint="default"/>
      </w:rPr>
    </w:lvl>
    <w:lvl w:ilvl="1" w:tplc="40090003">
      <w:start w:val="1"/>
      <w:numFmt w:val="bullet"/>
      <w:lvlText w:val="o"/>
      <w:lvlJc w:val="left"/>
      <w:pPr>
        <w:ind w:left="2149" w:hanging="360"/>
      </w:pPr>
      <w:rPr>
        <w:rFonts w:ascii="Courier New" w:hAnsi="Courier New" w:cs="Courier New" w:hint="default"/>
      </w:rPr>
    </w:lvl>
    <w:lvl w:ilvl="2" w:tplc="40090005">
      <w:start w:val="1"/>
      <w:numFmt w:val="bullet"/>
      <w:lvlText w:val=""/>
      <w:lvlJc w:val="left"/>
      <w:pPr>
        <w:ind w:left="2869" w:hanging="360"/>
      </w:pPr>
      <w:rPr>
        <w:rFonts w:ascii="Wingdings" w:hAnsi="Wingdings" w:hint="default"/>
      </w:rPr>
    </w:lvl>
    <w:lvl w:ilvl="3" w:tplc="40090001">
      <w:start w:val="1"/>
      <w:numFmt w:val="bullet"/>
      <w:lvlText w:val=""/>
      <w:lvlJc w:val="left"/>
      <w:pPr>
        <w:ind w:left="3589" w:hanging="360"/>
      </w:pPr>
      <w:rPr>
        <w:rFonts w:ascii="Symbol" w:hAnsi="Symbol" w:hint="default"/>
      </w:rPr>
    </w:lvl>
    <w:lvl w:ilvl="4" w:tplc="40090003">
      <w:start w:val="1"/>
      <w:numFmt w:val="bullet"/>
      <w:lvlText w:val="o"/>
      <w:lvlJc w:val="left"/>
      <w:pPr>
        <w:ind w:left="4309" w:hanging="360"/>
      </w:pPr>
      <w:rPr>
        <w:rFonts w:ascii="Courier New" w:hAnsi="Courier New" w:cs="Courier New" w:hint="default"/>
      </w:rPr>
    </w:lvl>
    <w:lvl w:ilvl="5" w:tplc="40090005">
      <w:start w:val="1"/>
      <w:numFmt w:val="bullet"/>
      <w:lvlText w:val=""/>
      <w:lvlJc w:val="left"/>
      <w:pPr>
        <w:ind w:left="5029" w:hanging="360"/>
      </w:pPr>
      <w:rPr>
        <w:rFonts w:ascii="Wingdings" w:hAnsi="Wingdings" w:hint="default"/>
      </w:rPr>
    </w:lvl>
    <w:lvl w:ilvl="6" w:tplc="40090001">
      <w:start w:val="1"/>
      <w:numFmt w:val="bullet"/>
      <w:lvlText w:val=""/>
      <w:lvlJc w:val="left"/>
      <w:pPr>
        <w:ind w:left="5749" w:hanging="360"/>
      </w:pPr>
      <w:rPr>
        <w:rFonts w:ascii="Symbol" w:hAnsi="Symbol" w:hint="default"/>
      </w:rPr>
    </w:lvl>
    <w:lvl w:ilvl="7" w:tplc="40090003">
      <w:start w:val="1"/>
      <w:numFmt w:val="bullet"/>
      <w:lvlText w:val="o"/>
      <w:lvlJc w:val="left"/>
      <w:pPr>
        <w:ind w:left="6469" w:hanging="360"/>
      </w:pPr>
      <w:rPr>
        <w:rFonts w:ascii="Courier New" w:hAnsi="Courier New" w:cs="Courier New" w:hint="default"/>
      </w:rPr>
    </w:lvl>
    <w:lvl w:ilvl="8" w:tplc="40090005">
      <w:start w:val="1"/>
      <w:numFmt w:val="bullet"/>
      <w:lvlText w:val=""/>
      <w:lvlJc w:val="left"/>
      <w:pPr>
        <w:ind w:left="7189" w:hanging="360"/>
      </w:pPr>
      <w:rPr>
        <w:rFonts w:ascii="Wingdings" w:hAnsi="Wingdings" w:hint="default"/>
      </w:rPr>
    </w:lvl>
  </w:abstractNum>
  <w:abstractNum w:abstractNumId="19" w15:restartNumberingAfterBreak="0">
    <w:nsid w:val="6AAF0313"/>
    <w:multiLevelType w:val="hybridMultilevel"/>
    <w:tmpl w:val="D1B0E1C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B487657"/>
    <w:multiLevelType w:val="hybridMultilevel"/>
    <w:tmpl w:val="9756567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15:restartNumberingAfterBreak="0">
    <w:nsid w:val="6BE33F7D"/>
    <w:multiLevelType w:val="hybridMultilevel"/>
    <w:tmpl w:val="56F673AC"/>
    <w:lvl w:ilvl="0" w:tplc="04090001">
      <w:start w:val="1"/>
      <w:numFmt w:val="bullet"/>
      <w:lvlText w:val=""/>
      <w:lvlJc w:val="left"/>
      <w:pPr>
        <w:ind w:left="720" w:hanging="360"/>
      </w:pPr>
      <w:rPr>
        <w:rFonts w:ascii="Symbol" w:hAnsi="Symbol" w:hint="default"/>
      </w:rPr>
    </w:lvl>
    <w:lvl w:ilvl="1" w:tplc="1D324BC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6245C"/>
    <w:multiLevelType w:val="hybridMultilevel"/>
    <w:tmpl w:val="40A8C434"/>
    <w:lvl w:ilvl="0" w:tplc="FE72EE6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F4416FE"/>
    <w:multiLevelType w:val="hybridMultilevel"/>
    <w:tmpl w:val="EC60BB68"/>
    <w:lvl w:ilvl="0" w:tplc="DA6ABAA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7F8848B2"/>
    <w:multiLevelType w:val="hybridMultilevel"/>
    <w:tmpl w:val="2C90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5"/>
  </w:num>
  <w:num w:numId="4">
    <w:abstractNumId w:val="21"/>
  </w:num>
  <w:num w:numId="5">
    <w:abstractNumId w:val="3"/>
  </w:num>
  <w:num w:numId="6">
    <w:abstractNumId w:val="16"/>
  </w:num>
  <w:num w:numId="7">
    <w:abstractNumId w:val="2"/>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lvlOverride w:ilvl="2"/>
    <w:lvlOverride w:ilvl="3"/>
    <w:lvlOverride w:ilvl="4"/>
    <w:lvlOverride w:ilvl="5"/>
    <w:lvlOverride w:ilvl="6"/>
    <w:lvlOverride w:ilvl="7"/>
    <w:lvlOverride w:ilvl="8"/>
  </w:num>
  <w:num w:numId="9">
    <w:abstractNumId w:val="24"/>
  </w:num>
  <w:num w:numId="10">
    <w:abstractNumId w:val="20"/>
    <w:lvlOverride w:ilvl="0"/>
    <w:lvlOverride w:ilvl="1"/>
    <w:lvlOverride w:ilvl="2"/>
    <w:lvlOverride w:ilvl="3"/>
    <w:lvlOverride w:ilvl="4"/>
    <w:lvlOverride w:ilvl="5"/>
    <w:lvlOverride w:ilvl="6"/>
    <w:lvlOverride w:ilvl="7"/>
    <w:lvlOverride w:ilvl="8"/>
  </w:num>
  <w:num w:numId="11">
    <w:abstractNumId w:val="6"/>
  </w:num>
  <w:num w:numId="12">
    <w:abstractNumId w:val="13"/>
    <w:lvlOverride w:ilvl="0"/>
    <w:lvlOverride w:ilvl="1"/>
    <w:lvlOverride w:ilvl="2"/>
    <w:lvlOverride w:ilvl="3"/>
    <w:lvlOverride w:ilvl="4"/>
    <w:lvlOverride w:ilvl="5"/>
    <w:lvlOverride w:ilvl="6"/>
    <w:lvlOverride w:ilvl="7"/>
    <w:lvlOverride w:ilvl="8"/>
  </w:num>
  <w:num w:numId="13">
    <w:abstractNumId w:val="17"/>
  </w:num>
  <w:num w:numId="14">
    <w:abstractNumId w:val="1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0"/>
  </w:num>
  <w:num w:numId="20">
    <w:abstractNumId w:val="19"/>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1C"/>
    <w:rsid w:val="00064A20"/>
    <w:rsid w:val="00131D47"/>
    <w:rsid w:val="00172612"/>
    <w:rsid w:val="002C2CC1"/>
    <w:rsid w:val="003066B8"/>
    <w:rsid w:val="003D0E10"/>
    <w:rsid w:val="0047137C"/>
    <w:rsid w:val="0052078A"/>
    <w:rsid w:val="005612D8"/>
    <w:rsid w:val="005D4C73"/>
    <w:rsid w:val="008931BD"/>
    <w:rsid w:val="008973E6"/>
    <w:rsid w:val="00A1581C"/>
    <w:rsid w:val="00B67450"/>
    <w:rsid w:val="00C903CC"/>
    <w:rsid w:val="00CB1A7E"/>
    <w:rsid w:val="00D21E12"/>
    <w:rsid w:val="00DF00AF"/>
    <w:rsid w:val="00E51A3C"/>
    <w:rsid w:val="00F34452"/>
    <w:rsid w:val="00FB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C836"/>
  <w15:chartTrackingRefBased/>
  <w15:docId w15:val="{A0D5A687-D4B3-41DD-8DB4-D03C5B0F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81C"/>
    <w:pPr>
      <w:ind w:left="720"/>
      <w:contextualSpacing/>
    </w:pPr>
  </w:style>
  <w:style w:type="paragraph" w:styleId="NoSpacing">
    <w:name w:val="No Spacing"/>
    <w:uiPriority w:val="1"/>
    <w:qFormat/>
    <w:rsid w:val="00DF00AF"/>
    <w:pPr>
      <w:spacing w:after="0" w:line="240" w:lineRule="auto"/>
    </w:pPr>
  </w:style>
  <w:style w:type="character" w:styleId="Strong">
    <w:name w:val="Strong"/>
    <w:basedOn w:val="DefaultParagraphFont"/>
    <w:uiPriority w:val="22"/>
    <w:qFormat/>
    <w:rsid w:val="0047137C"/>
    <w:rPr>
      <w:b/>
      <w:bCs/>
    </w:rPr>
  </w:style>
  <w:style w:type="character" w:styleId="Hyperlink">
    <w:name w:val="Hyperlink"/>
    <w:basedOn w:val="DefaultParagraphFont"/>
    <w:uiPriority w:val="99"/>
    <w:semiHidden/>
    <w:unhideWhenUsed/>
    <w:rsid w:val="0047137C"/>
    <w:rPr>
      <w:color w:val="0000FF"/>
      <w:u w:val="single"/>
    </w:rPr>
  </w:style>
  <w:style w:type="character" w:customStyle="1" w:styleId="caps">
    <w:name w:val="caps"/>
    <w:basedOn w:val="DefaultParagraphFont"/>
    <w:rsid w:val="0047137C"/>
  </w:style>
  <w:style w:type="paragraph" w:styleId="NormalWeb">
    <w:name w:val="Normal (Web)"/>
    <w:basedOn w:val="Normal"/>
    <w:uiPriority w:val="99"/>
    <w:semiHidden/>
    <w:unhideWhenUsed/>
    <w:rsid w:val="00520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52078A"/>
  </w:style>
  <w:style w:type="character" w:customStyle="1" w:styleId="mjxassistivemathml">
    <w:name w:val="mjx_assistive_mathml"/>
    <w:basedOn w:val="DefaultParagraphFont"/>
    <w:rsid w:val="0052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20466">
      <w:bodyDiv w:val="1"/>
      <w:marLeft w:val="0"/>
      <w:marRight w:val="0"/>
      <w:marTop w:val="0"/>
      <w:marBottom w:val="0"/>
      <w:divBdr>
        <w:top w:val="none" w:sz="0" w:space="0" w:color="auto"/>
        <w:left w:val="none" w:sz="0" w:space="0" w:color="auto"/>
        <w:bottom w:val="none" w:sz="0" w:space="0" w:color="auto"/>
        <w:right w:val="none" w:sz="0" w:space="0" w:color="auto"/>
      </w:divBdr>
    </w:div>
    <w:div w:id="211043227">
      <w:bodyDiv w:val="1"/>
      <w:marLeft w:val="0"/>
      <w:marRight w:val="0"/>
      <w:marTop w:val="0"/>
      <w:marBottom w:val="0"/>
      <w:divBdr>
        <w:top w:val="none" w:sz="0" w:space="0" w:color="auto"/>
        <w:left w:val="none" w:sz="0" w:space="0" w:color="auto"/>
        <w:bottom w:val="none" w:sz="0" w:space="0" w:color="auto"/>
        <w:right w:val="none" w:sz="0" w:space="0" w:color="auto"/>
      </w:divBdr>
    </w:div>
    <w:div w:id="390007949">
      <w:bodyDiv w:val="1"/>
      <w:marLeft w:val="0"/>
      <w:marRight w:val="0"/>
      <w:marTop w:val="0"/>
      <w:marBottom w:val="0"/>
      <w:divBdr>
        <w:top w:val="none" w:sz="0" w:space="0" w:color="auto"/>
        <w:left w:val="none" w:sz="0" w:space="0" w:color="auto"/>
        <w:bottom w:val="none" w:sz="0" w:space="0" w:color="auto"/>
        <w:right w:val="none" w:sz="0" w:space="0" w:color="auto"/>
      </w:divBdr>
    </w:div>
    <w:div w:id="397292546">
      <w:bodyDiv w:val="1"/>
      <w:marLeft w:val="0"/>
      <w:marRight w:val="0"/>
      <w:marTop w:val="0"/>
      <w:marBottom w:val="0"/>
      <w:divBdr>
        <w:top w:val="none" w:sz="0" w:space="0" w:color="auto"/>
        <w:left w:val="none" w:sz="0" w:space="0" w:color="auto"/>
        <w:bottom w:val="none" w:sz="0" w:space="0" w:color="auto"/>
        <w:right w:val="none" w:sz="0" w:space="0" w:color="auto"/>
      </w:divBdr>
    </w:div>
    <w:div w:id="442963366">
      <w:bodyDiv w:val="1"/>
      <w:marLeft w:val="0"/>
      <w:marRight w:val="0"/>
      <w:marTop w:val="0"/>
      <w:marBottom w:val="0"/>
      <w:divBdr>
        <w:top w:val="none" w:sz="0" w:space="0" w:color="auto"/>
        <w:left w:val="none" w:sz="0" w:space="0" w:color="auto"/>
        <w:bottom w:val="none" w:sz="0" w:space="0" w:color="auto"/>
        <w:right w:val="none" w:sz="0" w:space="0" w:color="auto"/>
      </w:divBdr>
    </w:div>
    <w:div w:id="520049069">
      <w:bodyDiv w:val="1"/>
      <w:marLeft w:val="0"/>
      <w:marRight w:val="0"/>
      <w:marTop w:val="0"/>
      <w:marBottom w:val="0"/>
      <w:divBdr>
        <w:top w:val="none" w:sz="0" w:space="0" w:color="auto"/>
        <w:left w:val="none" w:sz="0" w:space="0" w:color="auto"/>
        <w:bottom w:val="none" w:sz="0" w:space="0" w:color="auto"/>
        <w:right w:val="none" w:sz="0" w:space="0" w:color="auto"/>
      </w:divBdr>
    </w:div>
    <w:div w:id="676927512">
      <w:bodyDiv w:val="1"/>
      <w:marLeft w:val="0"/>
      <w:marRight w:val="0"/>
      <w:marTop w:val="0"/>
      <w:marBottom w:val="0"/>
      <w:divBdr>
        <w:top w:val="none" w:sz="0" w:space="0" w:color="auto"/>
        <w:left w:val="none" w:sz="0" w:space="0" w:color="auto"/>
        <w:bottom w:val="none" w:sz="0" w:space="0" w:color="auto"/>
        <w:right w:val="none" w:sz="0" w:space="0" w:color="auto"/>
      </w:divBdr>
    </w:div>
    <w:div w:id="736781334">
      <w:bodyDiv w:val="1"/>
      <w:marLeft w:val="0"/>
      <w:marRight w:val="0"/>
      <w:marTop w:val="0"/>
      <w:marBottom w:val="0"/>
      <w:divBdr>
        <w:top w:val="none" w:sz="0" w:space="0" w:color="auto"/>
        <w:left w:val="none" w:sz="0" w:space="0" w:color="auto"/>
        <w:bottom w:val="none" w:sz="0" w:space="0" w:color="auto"/>
        <w:right w:val="none" w:sz="0" w:space="0" w:color="auto"/>
      </w:divBdr>
    </w:div>
    <w:div w:id="740063532">
      <w:bodyDiv w:val="1"/>
      <w:marLeft w:val="0"/>
      <w:marRight w:val="0"/>
      <w:marTop w:val="0"/>
      <w:marBottom w:val="0"/>
      <w:divBdr>
        <w:top w:val="none" w:sz="0" w:space="0" w:color="auto"/>
        <w:left w:val="none" w:sz="0" w:space="0" w:color="auto"/>
        <w:bottom w:val="none" w:sz="0" w:space="0" w:color="auto"/>
        <w:right w:val="none" w:sz="0" w:space="0" w:color="auto"/>
      </w:divBdr>
      <w:divsChild>
        <w:div w:id="1271234054">
          <w:marLeft w:val="0"/>
          <w:marRight w:val="0"/>
          <w:marTop w:val="0"/>
          <w:marBottom w:val="195"/>
          <w:divBdr>
            <w:top w:val="none" w:sz="0" w:space="0" w:color="auto"/>
            <w:left w:val="none" w:sz="0" w:space="0" w:color="auto"/>
            <w:bottom w:val="none" w:sz="0" w:space="0" w:color="auto"/>
            <w:right w:val="none" w:sz="0" w:space="0" w:color="auto"/>
          </w:divBdr>
          <w:divsChild>
            <w:div w:id="2035304041">
              <w:marLeft w:val="0"/>
              <w:marRight w:val="0"/>
              <w:marTop w:val="0"/>
              <w:marBottom w:val="0"/>
              <w:divBdr>
                <w:top w:val="none" w:sz="0" w:space="0" w:color="auto"/>
                <w:left w:val="none" w:sz="0" w:space="0" w:color="auto"/>
                <w:bottom w:val="none" w:sz="0" w:space="0" w:color="auto"/>
                <w:right w:val="none" w:sz="0" w:space="0" w:color="auto"/>
              </w:divBdr>
              <w:divsChild>
                <w:div w:id="2044865355">
                  <w:marLeft w:val="0"/>
                  <w:marRight w:val="0"/>
                  <w:marTop w:val="0"/>
                  <w:marBottom w:val="0"/>
                  <w:divBdr>
                    <w:top w:val="none" w:sz="0" w:space="0" w:color="auto"/>
                    <w:left w:val="none" w:sz="0" w:space="0" w:color="auto"/>
                    <w:bottom w:val="none" w:sz="0" w:space="0" w:color="auto"/>
                    <w:right w:val="none" w:sz="0" w:space="0" w:color="auto"/>
                  </w:divBdr>
                  <w:divsChild>
                    <w:div w:id="267546855">
                      <w:marLeft w:val="0"/>
                      <w:marRight w:val="0"/>
                      <w:marTop w:val="0"/>
                      <w:marBottom w:val="0"/>
                      <w:divBdr>
                        <w:top w:val="none" w:sz="0" w:space="0" w:color="auto"/>
                        <w:left w:val="none" w:sz="0" w:space="0" w:color="auto"/>
                        <w:bottom w:val="none" w:sz="0" w:space="0" w:color="auto"/>
                        <w:right w:val="none" w:sz="0" w:space="0" w:color="auto"/>
                      </w:divBdr>
                      <w:divsChild>
                        <w:div w:id="1807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151597">
          <w:marLeft w:val="0"/>
          <w:marRight w:val="0"/>
          <w:marTop w:val="0"/>
          <w:marBottom w:val="195"/>
          <w:divBdr>
            <w:top w:val="none" w:sz="0" w:space="0" w:color="auto"/>
            <w:left w:val="none" w:sz="0" w:space="0" w:color="auto"/>
            <w:bottom w:val="none" w:sz="0" w:space="0" w:color="auto"/>
            <w:right w:val="none" w:sz="0" w:space="0" w:color="auto"/>
          </w:divBdr>
          <w:divsChild>
            <w:div w:id="203181349">
              <w:marLeft w:val="0"/>
              <w:marRight w:val="0"/>
              <w:marTop w:val="0"/>
              <w:marBottom w:val="0"/>
              <w:divBdr>
                <w:top w:val="none" w:sz="0" w:space="0" w:color="auto"/>
                <w:left w:val="none" w:sz="0" w:space="0" w:color="auto"/>
                <w:bottom w:val="none" w:sz="0" w:space="0" w:color="auto"/>
                <w:right w:val="none" w:sz="0" w:space="0" w:color="auto"/>
              </w:divBdr>
              <w:divsChild>
                <w:div w:id="1350254213">
                  <w:marLeft w:val="0"/>
                  <w:marRight w:val="0"/>
                  <w:marTop w:val="0"/>
                  <w:marBottom w:val="0"/>
                  <w:divBdr>
                    <w:top w:val="none" w:sz="0" w:space="0" w:color="auto"/>
                    <w:left w:val="none" w:sz="0" w:space="0" w:color="auto"/>
                    <w:bottom w:val="none" w:sz="0" w:space="0" w:color="auto"/>
                    <w:right w:val="none" w:sz="0" w:space="0" w:color="auto"/>
                  </w:divBdr>
                  <w:divsChild>
                    <w:div w:id="1705209943">
                      <w:marLeft w:val="0"/>
                      <w:marRight w:val="0"/>
                      <w:marTop w:val="0"/>
                      <w:marBottom w:val="0"/>
                      <w:divBdr>
                        <w:top w:val="none" w:sz="0" w:space="0" w:color="auto"/>
                        <w:left w:val="none" w:sz="0" w:space="0" w:color="auto"/>
                        <w:bottom w:val="none" w:sz="0" w:space="0" w:color="auto"/>
                        <w:right w:val="none" w:sz="0" w:space="0" w:color="auto"/>
                      </w:divBdr>
                      <w:divsChild>
                        <w:div w:id="1770808076">
                          <w:marLeft w:val="0"/>
                          <w:marRight w:val="0"/>
                          <w:marTop w:val="0"/>
                          <w:marBottom w:val="0"/>
                          <w:divBdr>
                            <w:top w:val="none" w:sz="0" w:space="0" w:color="auto"/>
                            <w:left w:val="none" w:sz="0" w:space="0" w:color="auto"/>
                            <w:bottom w:val="none" w:sz="0" w:space="0" w:color="auto"/>
                            <w:right w:val="none" w:sz="0" w:space="0" w:color="auto"/>
                          </w:divBdr>
                        </w:div>
                      </w:divsChild>
                    </w:div>
                    <w:div w:id="427040750">
                      <w:marLeft w:val="0"/>
                      <w:marRight w:val="0"/>
                      <w:marTop w:val="0"/>
                      <w:marBottom w:val="0"/>
                      <w:divBdr>
                        <w:top w:val="none" w:sz="0" w:space="0" w:color="auto"/>
                        <w:left w:val="none" w:sz="0" w:space="0" w:color="auto"/>
                        <w:bottom w:val="none" w:sz="0" w:space="0" w:color="auto"/>
                        <w:right w:val="none" w:sz="0" w:space="0" w:color="auto"/>
                      </w:divBdr>
                      <w:divsChild>
                        <w:div w:id="1689678303">
                          <w:marLeft w:val="0"/>
                          <w:marRight w:val="0"/>
                          <w:marTop w:val="0"/>
                          <w:marBottom w:val="0"/>
                          <w:divBdr>
                            <w:top w:val="none" w:sz="0" w:space="0" w:color="auto"/>
                            <w:left w:val="none" w:sz="0" w:space="0" w:color="auto"/>
                            <w:bottom w:val="none" w:sz="0" w:space="0" w:color="auto"/>
                            <w:right w:val="none" w:sz="0" w:space="0" w:color="auto"/>
                          </w:divBdr>
                        </w:div>
                      </w:divsChild>
                    </w:div>
                    <w:div w:id="725615519">
                      <w:marLeft w:val="0"/>
                      <w:marRight w:val="0"/>
                      <w:marTop w:val="0"/>
                      <w:marBottom w:val="0"/>
                      <w:divBdr>
                        <w:top w:val="none" w:sz="0" w:space="0" w:color="auto"/>
                        <w:left w:val="none" w:sz="0" w:space="0" w:color="auto"/>
                        <w:bottom w:val="none" w:sz="0" w:space="0" w:color="auto"/>
                        <w:right w:val="none" w:sz="0" w:space="0" w:color="auto"/>
                      </w:divBdr>
                      <w:divsChild>
                        <w:div w:id="73288333">
                          <w:marLeft w:val="0"/>
                          <w:marRight w:val="0"/>
                          <w:marTop w:val="0"/>
                          <w:marBottom w:val="0"/>
                          <w:divBdr>
                            <w:top w:val="none" w:sz="0" w:space="0" w:color="auto"/>
                            <w:left w:val="none" w:sz="0" w:space="0" w:color="auto"/>
                            <w:bottom w:val="none" w:sz="0" w:space="0" w:color="auto"/>
                            <w:right w:val="none" w:sz="0" w:space="0" w:color="auto"/>
                          </w:divBdr>
                        </w:div>
                      </w:divsChild>
                    </w:div>
                    <w:div w:id="1566797885">
                      <w:marLeft w:val="0"/>
                      <w:marRight w:val="0"/>
                      <w:marTop w:val="0"/>
                      <w:marBottom w:val="0"/>
                      <w:divBdr>
                        <w:top w:val="none" w:sz="0" w:space="0" w:color="auto"/>
                        <w:left w:val="none" w:sz="0" w:space="0" w:color="auto"/>
                        <w:bottom w:val="none" w:sz="0" w:space="0" w:color="auto"/>
                        <w:right w:val="none" w:sz="0" w:space="0" w:color="auto"/>
                      </w:divBdr>
                      <w:divsChild>
                        <w:div w:id="1902249983">
                          <w:marLeft w:val="0"/>
                          <w:marRight w:val="0"/>
                          <w:marTop w:val="0"/>
                          <w:marBottom w:val="0"/>
                          <w:divBdr>
                            <w:top w:val="none" w:sz="0" w:space="0" w:color="auto"/>
                            <w:left w:val="none" w:sz="0" w:space="0" w:color="auto"/>
                            <w:bottom w:val="none" w:sz="0" w:space="0" w:color="auto"/>
                            <w:right w:val="none" w:sz="0" w:space="0" w:color="auto"/>
                          </w:divBdr>
                        </w:div>
                      </w:divsChild>
                    </w:div>
                    <w:div w:id="990016366">
                      <w:marLeft w:val="0"/>
                      <w:marRight w:val="0"/>
                      <w:marTop w:val="0"/>
                      <w:marBottom w:val="0"/>
                      <w:divBdr>
                        <w:top w:val="none" w:sz="0" w:space="0" w:color="auto"/>
                        <w:left w:val="none" w:sz="0" w:space="0" w:color="auto"/>
                        <w:bottom w:val="none" w:sz="0" w:space="0" w:color="auto"/>
                        <w:right w:val="none" w:sz="0" w:space="0" w:color="auto"/>
                      </w:divBdr>
                      <w:divsChild>
                        <w:div w:id="20934178">
                          <w:marLeft w:val="0"/>
                          <w:marRight w:val="0"/>
                          <w:marTop w:val="0"/>
                          <w:marBottom w:val="0"/>
                          <w:divBdr>
                            <w:top w:val="none" w:sz="0" w:space="0" w:color="auto"/>
                            <w:left w:val="none" w:sz="0" w:space="0" w:color="auto"/>
                            <w:bottom w:val="none" w:sz="0" w:space="0" w:color="auto"/>
                            <w:right w:val="none" w:sz="0" w:space="0" w:color="auto"/>
                          </w:divBdr>
                        </w:div>
                      </w:divsChild>
                    </w:div>
                    <w:div w:id="1790082106">
                      <w:marLeft w:val="0"/>
                      <w:marRight w:val="0"/>
                      <w:marTop w:val="0"/>
                      <w:marBottom w:val="0"/>
                      <w:divBdr>
                        <w:top w:val="none" w:sz="0" w:space="0" w:color="auto"/>
                        <w:left w:val="none" w:sz="0" w:space="0" w:color="auto"/>
                        <w:bottom w:val="none" w:sz="0" w:space="0" w:color="auto"/>
                        <w:right w:val="none" w:sz="0" w:space="0" w:color="auto"/>
                      </w:divBdr>
                      <w:divsChild>
                        <w:div w:id="1855805676">
                          <w:marLeft w:val="0"/>
                          <w:marRight w:val="0"/>
                          <w:marTop w:val="0"/>
                          <w:marBottom w:val="0"/>
                          <w:divBdr>
                            <w:top w:val="none" w:sz="0" w:space="0" w:color="auto"/>
                            <w:left w:val="none" w:sz="0" w:space="0" w:color="auto"/>
                            <w:bottom w:val="none" w:sz="0" w:space="0" w:color="auto"/>
                            <w:right w:val="none" w:sz="0" w:space="0" w:color="auto"/>
                          </w:divBdr>
                        </w:div>
                      </w:divsChild>
                    </w:div>
                    <w:div w:id="579490288">
                      <w:marLeft w:val="0"/>
                      <w:marRight w:val="0"/>
                      <w:marTop w:val="0"/>
                      <w:marBottom w:val="0"/>
                      <w:divBdr>
                        <w:top w:val="none" w:sz="0" w:space="0" w:color="auto"/>
                        <w:left w:val="none" w:sz="0" w:space="0" w:color="auto"/>
                        <w:bottom w:val="none" w:sz="0" w:space="0" w:color="auto"/>
                        <w:right w:val="none" w:sz="0" w:space="0" w:color="auto"/>
                      </w:divBdr>
                      <w:divsChild>
                        <w:div w:id="1585840152">
                          <w:marLeft w:val="0"/>
                          <w:marRight w:val="0"/>
                          <w:marTop w:val="0"/>
                          <w:marBottom w:val="0"/>
                          <w:divBdr>
                            <w:top w:val="none" w:sz="0" w:space="0" w:color="auto"/>
                            <w:left w:val="none" w:sz="0" w:space="0" w:color="auto"/>
                            <w:bottom w:val="none" w:sz="0" w:space="0" w:color="auto"/>
                            <w:right w:val="none" w:sz="0" w:space="0" w:color="auto"/>
                          </w:divBdr>
                        </w:div>
                      </w:divsChild>
                    </w:div>
                    <w:div w:id="267810079">
                      <w:marLeft w:val="0"/>
                      <w:marRight w:val="0"/>
                      <w:marTop w:val="0"/>
                      <w:marBottom w:val="0"/>
                      <w:divBdr>
                        <w:top w:val="none" w:sz="0" w:space="0" w:color="auto"/>
                        <w:left w:val="none" w:sz="0" w:space="0" w:color="auto"/>
                        <w:bottom w:val="none" w:sz="0" w:space="0" w:color="auto"/>
                        <w:right w:val="none" w:sz="0" w:space="0" w:color="auto"/>
                      </w:divBdr>
                      <w:divsChild>
                        <w:div w:id="1973559959">
                          <w:marLeft w:val="0"/>
                          <w:marRight w:val="0"/>
                          <w:marTop w:val="0"/>
                          <w:marBottom w:val="0"/>
                          <w:divBdr>
                            <w:top w:val="none" w:sz="0" w:space="0" w:color="auto"/>
                            <w:left w:val="none" w:sz="0" w:space="0" w:color="auto"/>
                            <w:bottom w:val="none" w:sz="0" w:space="0" w:color="auto"/>
                            <w:right w:val="none" w:sz="0" w:space="0" w:color="auto"/>
                          </w:divBdr>
                        </w:div>
                      </w:divsChild>
                    </w:div>
                    <w:div w:id="1725327651">
                      <w:marLeft w:val="0"/>
                      <w:marRight w:val="0"/>
                      <w:marTop w:val="0"/>
                      <w:marBottom w:val="0"/>
                      <w:divBdr>
                        <w:top w:val="none" w:sz="0" w:space="0" w:color="auto"/>
                        <w:left w:val="none" w:sz="0" w:space="0" w:color="auto"/>
                        <w:bottom w:val="none" w:sz="0" w:space="0" w:color="auto"/>
                        <w:right w:val="none" w:sz="0" w:space="0" w:color="auto"/>
                      </w:divBdr>
                      <w:divsChild>
                        <w:div w:id="1508326981">
                          <w:marLeft w:val="0"/>
                          <w:marRight w:val="0"/>
                          <w:marTop w:val="0"/>
                          <w:marBottom w:val="0"/>
                          <w:divBdr>
                            <w:top w:val="none" w:sz="0" w:space="0" w:color="auto"/>
                            <w:left w:val="none" w:sz="0" w:space="0" w:color="auto"/>
                            <w:bottom w:val="none" w:sz="0" w:space="0" w:color="auto"/>
                            <w:right w:val="none" w:sz="0" w:space="0" w:color="auto"/>
                          </w:divBdr>
                        </w:div>
                      </w:divsChild>
                    </w:div>
                    <w:div w:id="278727370">
                      <w:marLeft w:val="0"/>
                      <w:marRight w:val="0"/>
                      <w:marTop w:val="0"/>
                      <w:marBottom w:val="0"/>
                      <w:divBdr>
                        <w:top w:val="none" w:sz="0" w:space="0" w:color="auto"/>
                        <w:left w:val="none" w:sz="0" w:space="0" w:color="auto"/>
                        <w:bottom w:val="none" w:sz="0" w:space="0" w:color="auto"/>
                        <w:right w:val="none" w:sz="0" w:space="0" w:color="auto"/>
                      </w:divBdr>
                      <w:divsChild>
                        <w:div w:id="433671986">
                          <w:marLeft w:val="0"/>
                          <w:marRight w:val="0"/>
                          <w:marTop w:val="0"/>
                          <w:marBottom w:val="0"/>
                          <w:divBdr>
                            <w:top w:val="none" w:sz="0" w:space="0" w:color="auto"/>
                            <w:left w:val="none" w:sz="0" w:space="0" w:color="auto"/>
                            <w:bottom w:val="none" w:sz="0" w:space="0" w:color="auto"/>
                            <w:right w:val="none" w:sz="0" w:space="0" w:color="auto"/>
                          </w:divBdr>
                        </w:div>
                        <w:div w:id="1425687175">
                          <w:marLeft w:val="0"/>
                          <w:marRight w:val="0"/>
                          <w:marTop w:val="0"/>
                          <w:marBottom w:val="0"/>
                          <w:divBdr>
                            <w:top w:val="none" w:sz="0" w:space="0" w:color="auto"/>
                            <w:left w:val="none" w:sz="0" w:space="0" w:color="auto"/>
                            <w:bottom w:val="none" w:sz="0" w:space="0" w:color="auto"/>
                            <w:right w:val="none" w:sz="0" w:space="0" w:color="auto"/>
                          </w:divBdr>
                        </w:div>
                        <w:div w:id="1389569707">
                          <w:marLeft w:val="0"/>
                          <w:marRight w:val="0"/>
                          <w:marTop w:val="0"/>
                          <w:marBottom w:val="0"/>
                          <w:divBdr>
                            <w:top w:val="none" w:sz="0" w:space="0" w:color="auto"/>
                            <w:left w:val="none" w:sz="0" w:space="0" w:color="auto"/>
                            <w:bottom w:val="none" w:sz="0" w:space="0" w:color="auto"/>
                            <w:right w:val="none" w:sz="0" w:space="0" w:color="auto"/>
                          </w:divBdr>
                        </w:div>
                      </w:divsChild>
                    </w:div>
                    <w:div w:id="1397050576">
                      <w:marLeft w:val="0"/>
                      <w:marRight w:val="0"/>
                      <w:marTop w:val="0"/>
                      <w:marBottom w:val="0"/>
                      <w:divBdr>
                        <w:top w:val="none" w:sz="0" w:space="0" w:color="auto"/>
                        <w:left w:val="none" w:sz="0" w:space="0" w:color="auto"/>
                        <w:bottom w:val="none" w:sz="0" w:space="0" w:color="auto"/>
                        <w:right w:val="none" w:sz="0" w:space="0" w:color="auto"/>
                      </w:divBdr>
                      <w:divsChild>
                        <w:div w:id="2095198710">
                          <w:marLeft w:val="0"/>
                          <w:marRight w:val="0"/>
                          <w:marTop w:val="0"/>
                          <w:marBottom w:val="0"/>
                          <w:divBdr>
                            <w:top w:val="none" w:sz="0" w:space="0" w:color="auto"/>
                            <w:left w:val="none" w:sz="0" w:space="0" w:color="auto"/>
                            <w:bottom w:val="none" w:sz="0" w:space="0" w:color="auto"/>
                            <w:right w:val="none" w:sz="0" w:space="0" w:color="auto"/>
                          </w:divBdr>
                        </w:div>
                      </w:divsChild>
                    </w:div>
                    <w:div w:id="1336542037">
                      <w:marLeft w:val="0"/>
                      <w:marRight w:val="0"/>
                      <w:marTop w:val="0"/>
                      <w:marBottom w:val="0"/>
                      <w:divBdr>
                        <w:top w:val="none" w:sz="0" w:space="0" w:color="auto"/>
                        <w:left w:val="none" w:sz="0" w:space="0" w:color="auto"/>
                        <w:bottom w:val="none" w:sz="0" w:space="0" w:color="auto"/>
                        <w:right w:val="none" w:sz="0" w:space="0" w:color="auto"/>
                      </w:divBdr>
                      <w:divsChild>
                        <w:div w:id="1434126275">
                          <w:marLeft w:val="0"/>
                          <w:marRight w:val="0"/>
                          <w:marTop w:val="0"/>
                          <w:marBottom w:val="0"/>
                          <w:divBdr>
                            <w:top w:val="none" w:sz="0" w:space="0" w:color="auto"/>
                            <w:left w:val="none" w:sz="0" w:space="0" w:color="auto"/>
                            <w:bottom w:val="none" w:sz="0" w:space="0" w:color="auto"/>
                            <w:right w:val="none" w:sz="0" w:space="0" w:color="auto"/>
                          </w:divBdr>
                        </w:div>
                      </w:divsChild>
                    </w:div>
                    <w:div w:id="653797207">
                      <w:marLeft w:val="0"/>
                      <w:marRight w:val="0"/>
                      <w:marTop w:val="0"/>
                      <w:marBottom w:val="0"/>
                      <w:divBdr>
                        <w:top w:val="none" w:sz="0" w:space="0" w:color="auto"/>
                        <w:left w:val="none" w:sz="0" w:space="0" w:color="auto"/>
                        <w:bottom w:val="none" w:sz="0" w:space="0" w:color="auto"/>
                        <w:right w:val="none" w:sz="0" w:space="0" w:color="auto"/>
                      </w:divBdr>
                      <w:divsChild>
                        <w:div w:id="1291283615">
                          <w:marLeft w:val="0"/>
                          <w:marRight w:val="0"/>
                          <w:marTop w:val="0"/>
                          <w:marBottom w:val="0"/>
                          <w:divBdr>
                            <w:top w:val="none" w:sz="0" w:space="0" w:color="auto"/>
                            <w:left w:val="none" w:sz="0" w:space="0" w:color="auto"/>
                            <w:bottom w:val="none" w:sz="0" w:space="0" w:color="auto"/>
                            <w:right w:val="none" w:sz="0" w:space="0" w:color="auto"/>
                          </w:divBdr>
                        </w:div>
                      </w:divsChild>
                    </w:div>
                    <w:div w:id="1770349473">
                      <w:marLeft w:val="0"/>
                      <w:marRight w:val="0"/>
                      <w:marTop w:val="0"/>
                      <w:marBottom w:val="0"/>
                      <w:divBdr>
                        <w:top w:val="none" w:sz="0" w:space="0" w:color="auto"/>
                        <w:left w:val="none" w:sz="0" w:space="0" w:color="auto"/>
                        <w:bottom w:val="none" w:sz="0" w:space="0" w:color="auto"/>
                        <w:right w:val="none" w:sz="0" w:space="0" w:color="auto"/>
                      </w:divBdr>
                      <w:divsChild>
                        <w:div w:id="988049629">
                          <w:marLeft w:val="0"/>
                          <w:marRight w:val="0"/>
                          <w:marTop w:val="0"/>
                          <w:marBottom w:val="0"/>
                          <w:divBdr>
                            <w:top w:val="none" w:sz="0" w:space="0" w:color="auto"/>
                            <w:left w:val="none" w:sz="0" w:space="0" w:color="auto"/>
                            <w:bottom w:val="none" w:sz="0" w:space="0" w:color="auto"/>
                            <w:right w:val="none" w:sz="0" w:space="0" w:color="auto"/>
                          </w:divBdr>
                        </w:div>
                      </w:divsChild>
                    </w:div>
                    <w:div w:id="755589205">
                      <w:marLeft w:val="0"/>
                      <w:marRight w:val="0"/>
                      <w:marTop w:val="0"/>
                      <w:marBottom w:val="0"/>
                      <w:divBdr>
                        <w:top w:val="none" w:sz="0" w:space="0" w:color="auto"/>
                        <w:left w:val="none" w:sz="0" w:space="0" w:color="auto"/>
                        <w:bottom w:val="none" w:sz="0" w:space="0" w:color="auto"/>
                        <w:right w:val="none" w:sz="0" w:space="0" w:color="auto"/>
                      </w:divBdr>
                      <w:divsChild>
                        <w:div w:id="828443870">
                          <w:marLeft w:val="0"/>
                          <w:marRight w:val="0"/>
                          <w:marTop w:val="0"/>
                          <w:marBottom w:val="0"/>
                          <w:divBdr>
                            <w:top w:val="none" w:sz="0" w:space="0" w:color="auto"/>
                            <w:left w:val="none" w:sz="0" w:space="0" w:color="auto"/>
                            <w:bottom w:val="none" w:sz="0" w:space="0" w:color="auto"/>
                            <w:right w:val="none" w:sz="0" w:space="0" w:color="auto"/>
                          </w:divBdr>
                        </w:div>
                      </w:divsChild>
                    </w:div>
                    <w:div w:id="770858814">
                      <w:marLeft w:val="0"/>
                      <w:marRight w:val="0"/>
                      <w:marTop w:val="0"/>
                      <w:marBottom w:val="0"/>
                      <w:divBdr>
                        <w:top w:val="none" w:sz="0" w:space="0" w:color="auto"/>
                        <w:left w:val="none" w:sz="0" w:space="0" w:color="auto"/>
                        <w:bottom w:val="none" w:sz="0" w:space="0" w:color="auto"/>
                        <w:right w:val="none" w:sz="0" w:space="0" w:color="auto"/>
                      </w:divBdr>
                      <w:divsChild>
                        <w:div w:id="1272275980">
                          <w:marLeft w:val="0"/>
                          <w:marRight w:val="0"/>
                          <w:marTop w:val="0"/>
                          <w:marBottom w:val="0"/>
                          <w:divBdr>
                            <w:top w:val="none" w:sz="0" w:space="0" w:color="auto"/>
                            <w:left w:val="none" w:sz="0" w:space="0" w:color="auto"/>
                            <w:bottom w:val="none" w:sz="0" w:space="0" w:color="auto"/>
                            <w:right w:val="none" w:sz="0" w:space="0" w:color="auto"/>
                          </w:divBdr>
                        </w:div>
                        <w:div w:id="1263295545">
                          <w:marLeft w:val="0"/>
                          <w:marRight w:val="0"/>
                          <w:marTop w:val="0"/>
                          <w:marBottom w:val="0"/>
                          <w:divBdr>
                            <w:top w:val="none" w:sz="0" w:space="0" w:color="auto"/>
                            <w:left w:val="none" w:sz="0" w:space="0" w:color="auto"/>
                            <w:bottom w:val="none" w:sz="0" w:space="0" w:color="auto"/>
                            <w:right w:val="none" w:sz="0" w:space="0" w:color="auto"/>
                          </w:divBdr>
                        </w:div>
                        <w:div w:id="613171242">
                          <w:marLeft w:val="0"/>
                          <w:marRight w:val="0"/>
                          <w:marTop w:val="0"/>
                          <w:marBottom w:val="0"/>
                          <w:divBdr>
                            <w:top w:val="none" w:sz="0" w:space="0" w:color="auto"/>
                            <w:left w:val="none" w:sz="0" w:space="0" w:color="auto"/>
                            <w:bottom w:val="none" w:sz="0" w:space="0" w:color="auto"/>
                            <w:right w:val="none" w:sz="0" w:space="0" w:color="auto"/>
                          </w:divBdr>
                        </w:div>
                      </w:divsChild>
                    </w:div>
                    <w:div w:id="1669402670">
                      <w:marLeft w:val="0"/>
                      <w:marRight w:val="0"/>
                      <w:marTop w:val="0"/>
                      <w:marBottom w:val="0"/>
                      <w:divBdr>
                        <w:top w:val="none" w:sz="0" w:space="0" w:color="auto"/>
                        <w:left w:val="none" w:sz="0" w:space="0" w:color="auto"/>
                        <w:bottom w:val="none" w:sz="0" w:space="0" w:color="auto"/>
                        <w:right w:val="none" w:sz="0" w:space="0" w:color="auto"/>
                      </w:divBdr>
                      <w:divsChild>
                        <w:div w:id="1689987788">
                          <w:marLeft w:val="0"/>
                          <w:marRight w:val="0"/>
                          <w:marTop w:val="0"/>
                          <w:marBottom w:val="0"/>
                          <w:divBdr>
                            <w:top w:val="none" w:sz="0" w:space="0" w:color="auto"/>
                            <w:left w:val="none" w:sz="0" w:space="0" w:color="auto"/>
                            <w:bottom w:val="none" w:sz="0" w:space="0" w:color="auto"/>
                            <w:right w:val="none" w:sz="0" w:space="0" w:color="auto"/>
                          </w:divBdr>
                        </w:div>
                      </w:divsChild>
                    </w:div>
                    <w:div w:id="1653483881">
                      <w:marLeft w:val="0"/>
                      <w:marRight w:val="0"/>
                      <w:marTop w:val="0"/>
                      <w:marBottom w:val="0"/>
                      <w:divBdr>
                        <w:top w:val="none" w:sz="0" w:space="0" w:color="auto"/>
                        <w:left w:val="none" w:sz="0" w:space="0" w:color="auto"/>
                        <w:bottom w:val="none" w:sz="0" w:space="0" w:color="auto"/>
                        <w:right w:val="none" w:sz="0" w:space="0" w:color="auto"/>
                      </w:divBdr>
                      <w:divsChild>
                        <w:div w:id="1338966307">
                          <w:marLeft w:val="0"/>
                          <w:marRight w:val="0"/>
                          <w:marTop w:val="0"/>
                          <w:marBottom w:val="0"/>
                          <w:divBdr>
                            <w:top w:val="none" w:sz="0" w:space="0" w:color="auto"/>
                            <w:left w:val="none" w:sz="0" w:space="0" w:color="auto"/>
                            <w:bottom w:val="none" w:sz="0" w:space="0" w:color="auto"/>
                            <w:right w:val="none" w:sz="0" w:space="0" w:color="auto"/>
                          </w:divBdr>
                        </w:div>
                        <w:div w:id="572205105">
                          <w:marLeft w:val="0"/>
                          <w:marRight w:val="0"/>
                          <w:marTop w:val="0"/>
                          <w:marBottom w:val="0"/>
                          <w:divBdr>
                            <w:top w:val="none" w:sz="0" w:space="0" w:color="auto"/>
                            <w:left w:val="none" w:sz="0" w:space="0" w:color="auto"/>
                            <w:bottom w:val="none" w:sz="0" w:space="0" w:color="auto"/>
                            <w:right w:val="none" w:sz="0" w:space="0" w:color="auto"/>
                          </w:divBdr>
                        </w:div>
                        <w:div w:id="2065904355">
                          <w:marLeft w:val="0"/>
                          <w:marRight w:val="0"/>
                          <w:marTop w:val="0"/>
                          <w:marBottom w:val="0"/>
                          <w:divBdr>
                            <w:top w:val="none" w:sz="0" w:space="0" w:color="auto"/>
                            <w:left w:val="none" w:sz="0" w:space="0" w:color="auto"/>
                            <w:bottom w:val="none" w:sz="0" w:space="0" w:color="auto"/>
                            <w:right w:val="none" w:sz="0" w:space="0" w:color="auto"/>
                          </w:divBdr>
                        </w:div>
                        <w:div w:id="1334799311">
                          <w:marLeft w:val="0"/>
                          <w:marRight w:val="0"/>
                          <w:marTop w:val="0"/>
                          <w:marBottom w:val="0"/>
                          <w:divBdr>
                            <w:top w:val="none" w:sz="0" w:space="0" w:color="auto"/>
                            <w:left w:val="none" w:sz="0" w:space="0" w:color="auto"/>
                            <w:bottom w:val="none" w:sz="0" w:space="0" w:color="auto"/>
                            <w:right w:val="none" w:sz="0" w:space="0" w:color="auto"/>
                          </w:divBdr>
                        </w:div>
                        <w:div w:id="210843830">
                          <w:marLeft w:val="0"/>
                          <w:marRight w:val="0"/>
                          <w:marTop w:val="0"/>
                          <w:marBottom w:val="0"/>
                          <w:divBdr>
                            <w:top w:val="none" w:sz="0" w:space="0" w:color="auto"/>
                            <w:left w:val="none" w:sz="0" w:space="0" w:color="auto"/>
                            <w:bottom w:val="none" w:sz="0" w:space="0" w:color="auto"/>
                            <w:right w:val="none" w:sz="0" w:space="0" w:color="auto"/>
                          </w:divBdr>
                        </w:div>
                        <w:div w:id="1043359710">
                          <w:marLeft w:val="0"/>
                          <w:marRight w:val="0"/>
                          <w:marTop w:val="0"/>
                          <w:marBottom w:val="0"/>
                          <w:divBdr>
                            <w:top w:val="none" w:sz="0" w:space="0" w:color="auto"/>
                            <w:left w:val="none" w:sz="0" w:space="0" w:color="auto"/>
                            <w:bottom w:val="none" w:sz="0" w:space="0" w:color="auto"/>
                            <w:right w:val="none" w:sz="0" w:space="0" w:color="auto"/>
                          </w:divBdr>
                        </w:div>
                      </w:divsChild>
                    </w:div>
                    <w:div w:id="1680304772">
                      <w:marLeft w:val="0"/>
                      <w:marRight w:val="0"/>
                      <w:marTop w:val="0"/>
                      <w:marBottom w:val="0"/>
                      <w:divBdr>
                        <w:top w:val="none" w:sz="0" w:space="0" w:color="auto"/>
                        <w:left w:val="none" w:sz="0" w:space="0" w:color="auto"/>
                        <w:bottom w:val="none" w:sz="0" w:space="0" w:color="auto"/>
                        <w:right w:val="none" w:sz="0" w:space="0" w:color="auto"/>
                      </w:divBdr>
                      <w:divsChild>
                        <w:div w:id="733237268">
                          <w:marLeft w:val="0"/>
                          <w:marRight w:val="0"/>
                          <w:marTop w:val="0"/>
                          <w:marBottom w:val="0"/>
                          <w:divBdr>
                            <w:top w:val="none" w:sz="0" w:space="0" w:color="auto"/>
                            <w:left w:val="none" w:sz="0" w:space="0" w:color="auto"/>
                            <w:bottom w:val="none" w:sz="0" w:space="0" w:color="auto"/>
                            <w:right w:val="none" w:sz="0" w:space="0" w:color="auto"/>
                          </w:divBdr>
                        </w:div>
                        <w:div w:id="614486851">
                          <w:marLeft w:val="0"/>
                          <w:marRight w:val="0"/>
                          <w:marTop w:val="0"/>
                          <w:marBottom w:val="0"/>
                          <w:divBdr>
                            <w:top w:val="none" w:sz="0" w:space="0" w:color="auto"/>
                            <w:left w:val="none" w:sz="0" w:space="0" w:color="auto"/>
                            <w:bottom w:val="none" w:sz="0" w:space="0" w:color="auto"/>
                            <w:right w:val="none" w:sz="0" w:space="0" w:color="auto"/>
                          </w:divBdr>
                        </w:div>
                      </w:divsChild>
                    </w:div>
                    <w:div w:id="1352879156">
                      <w:marLeft w:val="0"/>
                      <w:marRight w:val="0"/>
                      <w:marTop w:val="0"/>
                      <w:marBottom w:val="0"/>
                      <w:divBdr>
                        <w:top w:val="none" w:sz="0" w:space="0" w:color="auto"/>
                        <w:left w:val="none" w:sz="0" w:space="0" w:color="auto"/>
                        <w:bottom w:val="none" w:sz="0" w:space="0" w:color="auto"/>
                        <w:right w:val="none" w:sz="0" w:space="0" w:color="auto"/>
                      </w:divBdr>
                      <w:divsChild>
                        <w:div w:id="2125880175">
                          <w:marLeft w:val="0"/>
                          <w:marRight w:val="0"/>
                          <w:marTop w:val="0"/>
                          <w:marBottom w:val="0"/>
                          <w:divBdr>
                            <w:top w:val="none" w:sz="0" w:space="0" w:color="auto"/>
                            <w:left w:val="none" w:sz="0" w:space="0" w:color="auto"/>
                            <w:bottom w:val="none" w:sz="0" w:space="0" w:color="auto"/>
                            <w:right w:val="none" w:sz="0" w:space="0" w:color="auto"/>
                          </w:divBdr>
                        </w:div>
                      </w:divsChild>
                    </w:div>
                    <w:div w:id="265693708">
                      <w:marLeft w:val="0"/>
                      <w:marRight w:val="0"/>
                      <w:marTop w:val="0"/>
                      <w:marBottom w:val="0"/>
                      <w:divBdr>
                        <w:top w:val="none" w:sz="0" w:space="0" w:color="auto"/>
                        <w:left w:val="none" w:sz="0" w:space="0" w:color="auto"/>
                        <w:bottom w:val="none" w:sz="0" w:space="0" w:color="auto"/>
                        <w:right w:val="none" w:sz="0" w:space="0" w:color="auto"/>
                      </w:divBdr>
                      <w:divsChild>
                        <w:div w:id="331956666">
                          <w:marLeft w:val="0"/>
                          <w:marRight w:val="0"/>
                          <w:marTop w:val="0"/>
                          <w:marBottom w:val="0"/>
                          <w:divBdr>
                            <w:top w:val="none" w:sz="0" w:space="0" w:color="auto"/>
                            <w:left w:val="none" w:sz="0" w:space="0" w:color="auto"/>
                            <w:bottom w:val="none" w:sz="0" w:space="0" w:color="auto"/>
                            <w:right w:val="none" w:sz="0" w:space="0" w:color="auto"/>
                          </w:divBdr>
                        </w:div>
                      </w:divsChild>
                    </w:div>
                    <w:div w:id="919632074">
                      <w:marLeft w:val="0"/>
                      <w:marRight w:val="0"/>
                      <w:marTop w:val="0"/>
                      <w:marBottom w:val="0"/>
                      <w:divBdr>
                        <w:top w:val="none" w:sz="0" w:space="0" w:color="auto"/>
                        <w:left w:val="none" w:sz="0" w:space="0" w:color="auto"/>
                        <w:bottom w:val="none" w:sz="0" w:space="0" w:color="auto"/>
                        <w:right w:val="none" w:sz="0" w:space="0" w:color="auto"/>
                      </w:divBdr>
                      <w:divsChild>
                        <w:div w:id="572620083">
                          <w:marLeft w:val="0"/>
                          <w:marRight w:val="0"/>
                          <w:marTop w:val="0"/>
                          <w:marBottom w:val="0"/>
                          <w:divBdr>
                            <w:top w:val="none" w:sz="0" w:space="0" w:color="auto"/>
                            <w:left w:val="none" w:sz="0" w:space="0" w:color="auto"/>
                            <w:bottom w:val="none" w:sz="0" w:space="0" w:color="auto"/>
                            <w:right w:val="none" w:sz="0" w:space="0" w:color="auto"/>
                          </w:divBdr>
                        </w:div>
                      </w:divsChild>
                    </w:div>
                    <w:div w:id="1894651758">
                      <w:marLeft w:val="0"/>
                      <w:marRight w:val="0"/>
                      <w:marTop w:val="0"/>
                      <w:marBottom w:val="0"/>
                      <w:divBdr>
                        <w:top w:val="none" w:sz="0" w:space="0" w:color="auto"/>
                        <w:left w:val="none" w:sz="0" w:space="0" w:color="auto"/>
                        <w:bottom w:val="none" w:sz="0" w:space="0" w:color="auto"/>
                        <w:right w:val="none" w:sz="0" w:space="0" w:color="auto"/>
                      </w:divBdr>
                      <w:divsChild>
                        <w:div w:id="148793497">
                          <w:marLeft w:val="0"/>
                          <w:marRight w:val="0"/>
                          <w:marTop w:val="0"/>
                          <w:marBottom w:val="0"/>
                          <w:divBdr>
                            <w:top w:val="none" w:sz="0" w:space="0" w:color="auto"/>
                            <w:left w:val="none" w:sz="0" w:space="0" w:color="auto"/>
                            <w:bottom w:val="none" w:sz="0" w:space="0" w:color="auto"/>
                            <w:right w:val="none" w:sz="0" w:space="0" w:color="auto"/>
                          </w:divBdr>
                        </w:div>
                        <w:div w:id="1510680345">
                          <w:marLeft w:val="0"/>
                          <w:marRight w:val="0"/>
                          <w:marTop w:val="0"/>
                          <w:marBottom w:val="0"/>
                          <w:divBdr>
                            <w:top w:val="none" w:sz="0" w:space="0" w:color="auto"/>
                            <w:left w:val="none" w:sz="0" w:space="0" w:color="auto"/>
                            <w:bottom w:val="none" w:sz="0" w:space="0" w:color="auto"/>
                            <w:right w:val="none" w:sz="0" w:space="0" w:color="auto"/>
                          </w:divBdr>
                        </w:div>
                      </w:divsChild>
                    </w:div>
                    <w:div w:id="1961765279">
                      <w:marLeft w:val="0"/>
                      <w:marRight w:val="0"/>
                      <w:marTop w:val="0"/>
                      <w:marBottom w:val="0"/>
                      <w:divBdr>
                        <w:top w:val="none" w:sz="0" w:space="0" w:color="auto"/>
                        <w:left w:val="none" w:sz="0" w:space="0" w:color="auto"/>
                        <w:bottom w:val="none" w:sz="0" w:space="0" w:color="auto"/>
                        <w:right w:val="none" w:sz="0" w:space="0" w:color="auto"/>
                      </w:divBdr>
                      <w:divsChild>
                        <w:div w:id="1790273519">
                          <w:marLeft w:val="0"/>
                          <w:marRight w:val="0"/>
                          <w:marTop w:val="0"/>
                          <w:marBottom w:val="0"/>
                          <w:divBdr>
                            <w:top w:val="none" w:sz="0" w:space="0" w:color="auto"/>
                            <w:left w:val="none" w:sz="0" w:space="0" w:color="auto"/>
                            <w:bottom w:val="none" w:sz="0" w:space="0" w:color="auto"/>
                            <w:right w:val="none" w:sz="0" w:space="0" w:color="auto"/>
                          </w:divBdr>
                        </w:div>
                      </w:divsChild>
                    </w:div>
                    <w:div w:id="260574776">
                      <w:marLeft w:val="0"/>
                      <w:marRight w:val="0"/>
                      <w:marTop w:val="0"/>
                      <w:marBottom w:val="0"/>
                      <w:divBdr>
                        <w:top w:val="none" w:sz="0" w:space="0" w:color="auto"/>
                        <w:left w:val="none" w:sz="0" w:space="0" w:color="auto"/>
                        <w:bottom w:val="none" w:sz="0" w:space="0" w:color="auto"/>
                        <w:right w:val="none" w:sz="0" w:space="0" w:color="auto"/>
                      </w:divBdr>
                      <w:divsChild>
                        <w:div w:id="1515877935">
                          <w:marLeft w:val="0"/>
                          <w:marRight w:val="0"/>
                          <w:marTop w:val="0"/>
                          <w:marBottom w:val="0"/>
                          <w:divBdr>
                            <w:top w:val="none" w:sz="0" w:space="0" w:color="auto"/>
                            <w:left w:val="none" w:sz="0" w:space="0" w:color="auto"/>
                            <w:bottom w:val="none" w:sz="0" w:space="0" w:color="auto"/>
                            <w:right w:val="none" w:sz="0" w:space="0" w:color="auto"/>
                          </w:divBdr>
                        </w:div>
                      </w:divsChild>
                    </w:div>
                    <w:div w:id="116802682">
                      <w:marLeft w:val="0"/>
                      <w:marRight w:val="0"/>
                      <w:marTop w:val="0"/>
                      <w:marBottom w:val="0"/>
                      <w:divBdr>
                        <w:top w:val="none" w:sz="0" w:space="0" w:color="auto"/>
                        <w:left w:val="none" w:sz="0" w:space="0" w:color="auto"/>
                        <w:bottom w:val="none" w:sz="0" w:space="0" w:color="auto"/>
                        <w:right w:val="none" w:sz="0" w:space="0" w:color="auto"/>
                      </w:divBdr>
                      <w:divsChild>
                        <w:div w:id="405805208">
                          <w:marLeft w:val="0"/>
                          <w:marRight w:val="0"/>
                          <w:marTop w:val="0"/>
                          <w:marBottom w:val="0"/>
                          <w:divBdr>
                            <w:top w:val="none" w:sz="0" w:space="0" w:color="auto"/>
                            <w:left w:val="none" w:sz="0" w:space="0" w:color="auto"/>
                            <w:bottom w:val="none" w:sz="0" w:space="0" w:color="auto"/>
                            <w:right w:val="none" w:sz="0" w:space="0" w:color="auto"/>
                          </w:divBdr>
                        </w:div>
                      </w:divsChild>
                    </w:div>
                    <w:div w:id="530650789">
                      <w:marLeft w:val="0"/>
                      <w:marRight w:val="0"/>
                      <w:marTop w:val="0"/>
                      <w:marBottom w:val="0"/>
                      <w:divBdr>
                        <w:top w:val="none" w:sz="0" w:space="0" w:color="auto"/>
                        <w:left w:val="none" w:sz="0" w:space="0" w:color="auto"/>
                        <w:bottom w:val="none" w:sz="0" w:space="0" w:color="auto"/>
                        <w:right w:val="none" w:sz="0" w:space="0" w:color="auto"/>
                      </w:divBdr>
                      <w:divsChild>
                        <w:div w:id="701174313">
                          <w:marLeft w:val="0"/>
                          <w:marRight w:val="0"/>
                          <w:marTop w:val="0"/>
                          <w:marBottom w:val="0"/>
                          <w:divBdr>
                            <w:top w:val="none" w:sz="0" w:space="0" w:color="auto"/>
                            <w:left w:val="none" w:sz="0" w:space="0" w:color="auto"/>
                            <w:bottom w:val="none" w:sz="0" w:space="0" w:color="auto"/>
                            <w:right w:val="none" w:sz="0" w:space="0" w:color="auto"/>
                          </w:divBdr>
                        </w:div>
                        <w:div w:id="898173792">
                          <w:marLeft w:val="0"/>
                          <w:marRight w:val="0"/>
                          <w:marTop w:val="0"/>
                          <w:marBottom w:val="0"/>
                          <w:divBdr>
                            <w:top w:val="none" w:sz="0" w:space="0" w:color="auto"/>
                            <w:left w:val="none" w:sz="0" w:space="0" w:color="auto"/>
                            <w:bottom w:val="none" w:sz="0" w:space="0" w:color="auto"/>
                            <w:right w:val="none" w:sz="0" w:space="0" w:color="auto"/>
                          </w:divBdr>
                        </w:div>
                        <w:div w:id="1634948071">
                          <w:marLeft w:val="0"/>
                          <w:marRight w:val="0"/>
                          <w:marTop w:val="0"/>
                          <w:marBottom w:val="0"/>
                          <w:divBdr>
                            <w:top w:val="none" w:sz="0" w:space="0" w:color="auto"/>
                            <w:left w:val="none" w:sz="0" w:space="0" w:color="auto"/>
                            <w:bottom w:val="none" w:sz="0" w:space="0" w:color="auto"/>
                            <w:right w:val="none" w:sz="0" w:space="0" w:color="auto"/>
                          </w:divBdr>
                        </w:div>
                        <w:div w:id="1774863740">
                          <w:marLeft w:val="0"/>
                          <w:marRight w:val="0"/>
                          <w:marTop w:val="0"/>
                          <w:marBottom w:val="0"/>
                          <w:divBdr>
                            <w:top w:val="none" w:sz="0" w:space="0" w:color="auto"/>
                            <w:left w:val="none" w:sz="0" w:space="0" w:color="auto"/>
                            <w:bottom w:val="none" w:sz="0" w:space="0" w:color="auto"/>
                            <w:right w:val="none" w:sz="0" w:space="0" w:color="auto"/>
                          </w:divBdr>
                        </w:div>
                        <w:div w:id="1223367586">
                          <w:marLeft w:val="0"/>
                          <w:marRight w:val="0"/>
                          <w:marTop w:val="0"/>
                          <w:marBottom w:val="0"/>
                          <w:divBdr>
                            <w:top w:val="none" w:sz="0" w:space="0" w:color="auto"/>
                            <w:left w:val="none" w:sz="0" w:space="0" w:color="auto"/>
                            <w:bottom w:val="none" w:sz="0" w:space="0" w:color="auto"/>
                            <w:right w:val="none" w:sz="0" w:space="0" w:color="auto"/>
                          </w:divBdr>
                        </w:div>
                        <w:div w:id="853300345">
                          <w:marLeft w:val="0"/>
                          <w:marRight w:val="0"/>
                          <w:marTop w:val="0"/>
                          <w:marBottom w:val="0"/>
                          <w:divBdr>
                            <w:top w:val="none" w:sz="0" w:space="0" w:color="auto"/>
                            <w:left w:val="none" w:sz="0" w:space="0" w:color="auto"/>
                            <w:bottom w:val="none" w:sz="0" w:space="0" w:color="auto"/>
                            <w:right w:val="none" w:sz="0" w:space="0" w:color="auto"/>
                          </w:divBdr>
                        </w:div>
                        <w:div w:id="1062874755">
                          <w:marLeft w:val="0"/>
                          <w:marRight w:val="0"/>
                          <w:marTop w:val="0"/>
                          <w:marBottom w:val="0"/>
                          <w:divBdr>
                            <w:top w:val="none" w:sz="0" w:space="0" w:color="auto"/>
                            <w:left w:val="none" w:sz="0" w:space="0" w:color="auto"/>
                            <w:bottom w:val="none" w:sz="0" w:space="0" w:color="auto"/>
                            <w:right w:val="none" w:sz="0" w:space="0" w:color="auto"/>
                          </w:divBdr>
                        </w:div>
                        <w:div w:id="1910966613">
                          <w:marLeft w:val="0"/>
                          <w:marRight w:val="0"/>
                          <w:marTop w:val="0"/>
                          <w:marBottom w:val="0"/>
                          <w:divBdr>
                            <w:top w:val="none" w:sz="0" w:space="0" w:color="auto"/>
                            <w:left w:val="none" w:sz="0" w:space="0" w:color="auto"/>
                            <w:bottom w:val="none" w:sz="0" w:space="0" w:color="auto"/>
                            <w:right w:val="none" w:sz="0" w:space="0" w:color="auto"/>
                          </w:divBdr>
                        </w:div>
                        <w:div w:id="112289123">
                          <w:marLeft w:val="0"/>
                          <w:marRight w:val="0"/>
                          <w:marTop w:val="0"/>
                          <w:marBottom w:val="0"/>
                          <w:divBdr>
                            <w:top w:val="none" w:sz="0" w:space="0" w:color="auto"/>
                            <w:left w:val="none" w:sz="0" w:space="0" w:color="auto"/>
                            <w:bottom w:val="none" w:sz="0" w:space="0" w:color="auto"/>
                            <w:right w:val="none" w:sz="0" w:space="0" w:color="auto"/>
                          </w:divBdr>
                        </w:div>
                        <w:div w:id="546726926">
                          <w:marLeft w:val="0"/>
                          <w:marRight w:val="0"/>
                          <w:marTop w:val="0"/>
                          <w:marBottom w:val="0"/>
                          <w:divBdr>
                            <w:top w:val="none" w:sz="0" w:space="0" w:color="auto"/>
                            <w:left w:val="none" w:sz="0" w:space="0" w:color="auto"/>
                            <w:bottom w:val="none" w:sz="0" w:space="0" w:color="auto"/>
                            <w:right w:val="none" w:sz="0" w:space="0" w:color="auto"/>
                          </w:divBdr>
                        </w:div>
                        <w:div w:id="287469570">
                          <w:marLeft w:val="0"/>
                          <w:marRight w:val="0"/>
                          <w:marTop w:val="0"/>
                          <w:marBottom w:val="0"/>
                          <w:divBdr>
                            <w:top w:val="none" w:sz="0" w:space="0" w:color="auto"/>
                            <w:left w:val="none" w:sz="0" w:space="0" w:color="auto"/>
                            <w:bottom w:val="none" w:sz="0" w:space="0" w:color="auto"/>
                            <w:right w:val="none" w:sz="0" w:space="0" w:color="auto"/>
                          </w:divBdr>
                        </w:div>
                        <w:div w:id="845242152">
                          <w:marLeft w:val="0"/>
                          <w:marRight w:val="0"/>
                          <w:marTop w:val="0"/>
                          <w:marBottom w:val="0"/>
                          <w:divBdr>
                            <w:top w:val="none" w:sz="0" w:space="0" w:color="auto"/>
                            <w:left w:val="none" w:sz="0" w:space="0" w:color="auto"/>
                            <w:bottom w:val="none" w:sz="0" w:space="0" w:color="auto"/>
                            <w:right w:val="none" w:sz="0" w:space="0" w:color="auto"/>
                          </w:divBdr>
                        </w:div>
                        <w:div w:id="689381511">
                          <w:marLeft w:val="0"/>
                          <w:marRight w:val="0"/>
                          <w:marTop w:val="0"/>
                          <w:marBottom w:val="0"/>
                          <w:divBdr>
                            <w:top w:val="none" w:sz="0" w:space="0" w:color="auto"/>
                            <w:left w:val="none" w:sz="0" w:space="0" w:color="auto"/>
                            <w:bottom w:val="none" w:sz="0" w:space="0" w:color="auto"/>
                            <w:right w:val="none" w:sz="0" w:space="0" w:color="auto"/>
                          </w:divBdr>
                        </w:div>
                        <w:div w:id="1676108781">
                          <w:marLeft w:val="0"/>
                          <w:marRight w:val="0"/>
                          <w:marTop w:val="0"/>
                          <w:marBottom w:val="0"/>
                          <w:divBdr>
                            <w:top w:val="none" w:sz="0" w:space="0" w:color="auto"/>
                            <w:left w:val="none" w:sz="0" w:space="0" w:color="auto"/>
                            <w:bottom w:val="none" w:sz="0" w:space="0" w:color="auto"/>
                            <w:right w:val="none" w:sz="0" w:space="0" w:color="auto"/>
                          </w:divBdr>
                        </w:div>
                        <w:div w:id="764419895">
                          <w:marLeft w:val="0"/>
                          <w:marRight w:val="0"/>
                          <w:marTop w:val="0"/>
                          <w:marBottom w:val="0"/>
                          <w:divBdr>
                            <w:top w:val="none" w:sz="0" w:space="0" w:color="auto"/>
                            <w:left w:val="none" w:sz="0" w:space="0" w:color="auto"/>
                            <w:bottom w:val="none" w:sz="0" w:space="0" w:color="auto"/>
                            <w:right w:val="none" w:sz="0" w:space="0" w:color="auto"/>
                          </w:divBdr>
                        </w:div>
                      </w:divsChild>
                    </w:div>
                    <w:div w:id="1457798208">
                      <w:marLeft w:val="0"/>
                      <w:marRight w:val="0"/>
                      <w:marTop w:val="0"/>
                      <w:marBottom w:val="0"/>
                      <w:divBdr>
                        <w:top w:val="none" w:sz="0" w:space="0" w:color="auto"/>
                        <w:left w:val="none" w:sz="0" w:space="0" w:color="auto"/>
                        <w:bottom w:val="none" w:sz="0" w:space="0" w:color="auto"/>
                        <w:right w:val="none" w:sz="0" w:space="0" w:color="auto"/>
                      </w:divBdr>
                      <w:divsChild>
                        <w:div w:id="1238976430">
                          <w:marLeft w:val="0"/>
                          <w:marRight w:val="0"/>
                          <w:marTop w:val="0"/>
                          <w:marBottom w:val="0"/>
                          <w:divBdr>
                            <w:top w:val="none" w:sz="0" w:space="0" w:color="auto"/>
                            <w:left w:val="none" w:sz="0" w:space="0" w:color="auto"/>
                            <w:bottom w:val="none" w:sz="0" w:space="0" w:color="auto"/>
                            <w:right w:val="none" w:sz="0" w:space="0" w:color="auto"/>
                          </w:divBdr>
                        </w:div>
                        <w:div w:id="33240086">
                          <w:marLeft w:val="0"/>
                          <w:marRight w:val="0"/>
                          <w:marTop w:val="0"/>
                          <w:marBottom w:val="0"/>
                          <w:divBdr>
                            <w:top w:val="none" w:sz="0" w:space="0" w:color="auto"/>
                            <w:left w:val="none" w:sz="0" w:space="0" w:color="auto"/>
                            <w:bottom w:val="none" w:sz="0" w:space="0" w:color="auto"/>
                            <w:right w:val="none" w:sz="0" w:space="0" w:color="auto"/>
                          </w:divBdr>
                        </w:div>
                        <w:div w:id="1373725208">
                          <w:marLeft w:val="0"/>
                          <w:marRight w:val="0"/>
                          <w:marTop w:val="0"/>
                          <w:marBottom w:val="0"/>
                          <w:divBdr>
                            <w:top w:val="none" w:sz="0" w:space="0" w:color="auto"/>
                            <w:left w:val="none" w:sz="0" w:space="0" w:color="auto"/>
                            <w:bottom w:val="none" w:sz="0" w:space="0" w:color="auto"/>
                            <w:right w:val="none" w:sz="0" w:space="0" w:color="auto"/>
                          </w:divBdr>
                        </w:div>
                        <w:div w:id="1171217807">
                          <w:marLeft w:val="0"/>
                          <w:marRight w:val="0"/>
                          <w:marTop w:val="0"/>
                          <w:marBottom w:val="0"/>
                          <w:divBdr>
                            <w:top w:val="none" w:sz="0" w:space="0" w:color="auto"/>
                            <w:left w:val="none" w:sz="0" w:space="0" w:color="auto"/>
                            <w:bottom w:val="none" w:sz="0" w:space="0" w:color="auto"/>
                            <w:right w:val="none" w:sz="0" w:space="0" w:color="auto"/>
                          </w:divBdr>
                        </w:div>
                        <w:div w:id="1503006280">
                          <w:marLeft w:val="0"/>
                          <w:marRight w:val="0"/>
                          <w:marTop w:val="0"/>
                          <w:marBottom w:val="0"/>
                          <w:divBdr>
                            <w:top w:val="none" w:sz="0" w:space="0" w:color="auto"/>
                            <w:left w:val="none" w:sz="0" w:space="0" w:color="auto"/>
                            <w:bottom w:val="none" w:sz="0" w:space="0" w:color="auto"/>
                            <w:right w:val="none" w:sz="0" w:space="0" w:color="auto"/>
                          </w:divBdr>
                        </w:div>
                        <w:div w:id="1984693759">
                          <w:marLeft w:val="0"/>
                          <w:marRight w:val="0"/>
                          <w:marTop w:val="0"/>
                          <w:marBottom w:val="0"/>
                          <w:divBdr>
                            <w:top w:val="none" w:sz="0" w:space="0" w:color="auto"/>
                            <w:left w:val="none" w:sz="0" w:space="0" w:color="auto"/>
                            <w:bottom w:val="none" w:sz="0" w:space="0" w:color="auto"/>
                            <w:right w:val="none" w:sz="0" w:space="0" w:color="auto"/>
                          </w:divBdr>
                        </w:div>
                        <w:div w:id="472062692">
                          <w:marLeft w:val="0"/>
                          <w:marRight w:val="0"/>
                          <w:marTop w:val="0"/>
                          <w:marBottom w:val="0"/>
                          <w:divBdr>
                            <w:top w:val="none" w:sz="0" w:space="0" w:color="auto"/>
                            <w:left w:val="none" w:sz="0" w:space="0" w:color="auto"/>
                            <w:bottom w:val="none" w:sz="0" w:space="0" w:color="auto"/>
                            <w:right w:val="none" w:sz="0" w:space="0" w:color="auto"/>
                          </w:divBdr>
                        </w:div>
                        <w:div w:id="1038237764">
                          <w:marLeft w:val="0"/>
                          <w:marRight w:val="0"/>
                          <w:marTop w:val="0"/>
                          <w:marBottom w:val="0"/>
                          <w:divBdr>
                            <w:top w:val="none" w:sz="0" w:space="0" w:color="auto"/>
                            <w:left w:val="none" w:sz="0" w:space="0" w:color="auto"/>
                            <w:bottom w:val="none" w:sz="0" w:space="0" w:color="auto"/>
                            <w:right w:val="none" w:sz="0" w:space="0" w:color="auto"/>
                          </w:divBdr>
                        </w:div>
                        <w:div w:id="295768034">
                          <w:marLeft w:val="0"/>
                          <w:marRight w:val="0"/>
                          <w:marTop w:val="0"/>
                          <w:marBottom w:val="0"/>
                          <w:divBdr>
                            <w:top w:val="none" w:sz="0" w:space="0" w:color="auto"/>
                            <w:left w:val="none" w:sz="0" w:space="0" w:color="auto"/>
                            <w:bottom w:val="none" w:sz="0" w:space="0" w:color="auto"/>
                            <w:right w:val="none" w:sz="0" w:space="0" w:color="auto"/>
                          </w:divBdr>
                        </w:div>
                      </w:divsChild>
                    </w:div>
                    <w:div w:id="1236235967">
                      <w:marLeft w:val="0"/>
                      <w:marRight w:val="0"/>
                      <w:marTop w:val="0"/>
                      <w:marBottom w:val="0"/>
                      <w:divBdr>
                        <w:top w:val="none" w:sz="0" w:space="0" w:color="auto"/>
                        <w:left w:val="none" w:sz="0" w:space="0" w:color="auto"/>
                        <w:bottom w:val="none" w:sz="0" w:space="0" w:color="auto"/>
                        <w:right w:val="none" w:sz="0" w:space="0" w:color="auto"/>
                      </w:divBdr>
                      <w:divsChild>
                        <w:div w:id="2066877656">
                          <w:marLeft w:val="0"/>
                          <w:marRight w:val="0"/>
                          <w:marTop w:val="0"/>
                          <w:marBottom w:val="0"/>
                          <w:divBdr>
                            <w:top w:val="none" w:sz="0" w:space="0" w:color="auto"/>
                            <w:left w:val="none" w:sz="0" w:space="0" w:color="auto"/>
                            <w:bottom w:val="none" w:sz="0" w:space="0" w:color="auto"/>
                            <w:right w:val="none" w:sz="0" w:space="0" w:color="auto"/>
                          </w:divBdr>
                        </w:div>
                      </w:divsChild>
                    </w:div>
                    <w:div w:id="2047874392">
                      <w:marLeft w:val="0"/>
                      <w:marRight w:val="0"/>
                      <w:marTop w:val="0"/>
                      <w:marBottom w:val="0"/>
                      <w:divBdr>
                        <w:top w:val="none" w:sz="0" w:space="0" w:color="auto"/>
                        <w:left w:val="none" w:sz="0" w:space="0" w:color="auto"/>
                        <w:bottom w:val="none" w:sz="0" w:space="0" w:color="auto"/>
                        <w:right w:val="none" w:sz="0" w:space="0" w:color="auto"/>
                      </w:divBdr>
                      <w:divsChild>
                        <w:div w:id="775826762">
                          <w:marLeft w:val="0"/>
                          <w:marRight w:val="0"/>
                          <w:marTop w:val="0"/>
                          <w:marBottom w:val="0"/>
                          <w:divBdr>
                            <w:top w:val="none" w:sz="0" w:space="0" w:color="auto"/>
                            <w:left w:val="none" w:sz="0" w:space="0" w:color="auto"/>
                            <w:bottom w:val="none" w:sz="0" w:space="0" w:color="auto"/>
                            <w:right w:val="none" w:sz="0" w:space="0" w:color="auto"/>
                          </w:divBdr>
                        </w:div>
                      </w:divsChild>
                    </w:div>
                    <w:div w:id="515047540">
                      <w:marLeft w:val="0"/>
                      <w:marRight w:val="0"/>
                      <w:marTop w:val="0"/>
                      <w:marBottom w:val="0"/>
                      <w:divBdr>
                        <w:top w:val="none" w:sz="0" w:space="0" w:color="auto"/>
                        <w:left w:val="none" w:sz="0" w:space="0" w:color="auto"/>
                        <w:bottom w:val="none" w:sz="0" w:space="0" w:color="auto"/>
                        <w:right w:val="none" w:sz="0" w:space="0" w:color="auto"/>
                      </w:divBdr>
                      <w:divsChild>
                        <w:div w:id="1535922339">
                          <w:marLeft w:val="0"/>
                          <w:marRight w:val="0"/>
                          <w:marTop w:val="0"/>
                          <w:marBottom w:val="0"/>
                          <w:divBdr>
                            <w:top w:val="none" w:sz="0" w:space="0" w:color="auto"/>
                            <w:left w:val="none" w:sz="0" w:space="0" w:color="auto"/>
                            <w:bottom w:val="none" w:sz="0" w:space="0" w:color="auto"/>
                            <w:right w:val="none" w:sz="0" w:space="0" w:color="auto"/>
                          </w:divBdr>
                        </w:div>
                      </w:divsChild>
                    </w:div>
                    <w:div w:id="958608797">
                      <w:marLeft w:val="0"/>
                      <w:marRight w:val="0"/>
                      <w:marTop w:val="0"/>
                      <w:marBottom w:val="0"/>
                      <w:divBdr>
                        <w:top w:val="none" w:sz="0" w:space="0" w:color="auto"/>
                        <w:left w:val="none" w:sz="0" w:space="0" w:color="auto"/>
                        <w:bottom w:val="none" w:sz="0" w:space="0" w:color="auto"/>
                        <w:right w:val="none" w:sz="0" w:space="0" w:color="auto"/>
                      </w:divBdr>
                      <w:divsChild>
                        <w:div w:id="1876458925">
                          <w:marLeft w:val="0"/>
                          <w:marRight w:val="0"/>
                          <w:marTop w:val="0"/>
                          <w:marBottom w:val="0"/>
                          <w:divBdr>
                            <w:top w:val="none" w:sz="0" w:space="0" w:color="auto"/>
                            <w:left w:val="none" w:sz="0" w:space="0" w:color="auto"/>
                            <w:bottom w:val="none" w:sz="0" w:space="0" w:color="auto"/>
                            <w:right w:val="none" w:sz="0" w:space="0" w:color="auto"/>
                          </w:divBdr>
                        </w:div>
                        <w:div w:id="150296525">
                          <w:marLeft w:val="0"/>
                          <w:marRight w:val="0"/>
                          <w:marTop w:val="0"/>
                          <w:marBottom w:val="0"/>
                          <w:divBdr>
                            <w:top w:val="none" w:sz="0" w:space="0" w:color="auto"/>
                            <w:left w:val="none" w:sz="0" w:space="0" w:color="auto"/>
                            <w:bottom w:val="none" w:sz="0" w:space="0" w:color="auto"/>
                            <w:right w:val="none" w:sz="0" w:space="0" w:color="auto"/>
                          </w:divBdr>
                        </w:div>
                        <w:div w:id="1770419870">
                          <w:marLeft w:val="0"/>
                          <w:marRight w:val="0"/>
                          <w:marTop w:val="0"/>
                          <w:marBottom w:val="0"/>
                          <w:divBdr>
                            <w:top w:val="none" w:sz="0" w:space="0" w:color="auto"/>
                            <w:left w:val="none" w:sz="0" w:space="0" w:color="auto"/>
                            <w:bottom w:val="none" w:sz="0" w:space="0" w:color="auto"/>
                            <w:right w:val="none" w:sz="0" w:space="0" w:color="auto"/>
                          </w:divBdr>
                        </w:div>
                      </w:divsChild>
                    </w:div>
                    <w:div w:id="1089155167">
                      <w:marLeft w:val="0"/>
                      <w:marRight w:val="0"/>
                      <w:marTop w:val="0"/>
                      <w:marBottom w:val="0"/>
                      <w:divBdr>
                        <w:top w:val="none" w:sz="0" w:space="0" w:color="auto"/>
                        <w:left w:val="none" w:sz="0" w:space="0" w:color="auto"/>
                        <w:bottom w:val="none" w:sz="0" w:space="0" w:color="auto"/>
                        <w:right w:val="none" w:sz="0" w:space="0" w:color="auto"/>
                      </w:divBdr>
                      <w:divsChild>
                        <w:div w:id="1391077524">
                          <w:marLeft w:val="0"/>
                          <w:marRight w:val="0"/>
                          <w:marTop w:val="0"/>
                          <w:marBottom w:val="0"/>
                          <w:divBdr>
                            <w:top w:val="none" w:sz="0" w:space="0" w:color="auto"/>
                            <w:left w:val="none" w:sz="0" w:space="0" w:color="auto"/>
                            <w:bottom w:val="none" w:sz="0" w:space="0" w:color="auto"/>
                            <w:right w:val="none" w:sz="0" w:space="0" w:color="auto"/>
                          </w:divBdr>
                        </w:div>
                      </w:divsChild>
                    </w:div>
                    <w:div w:id="1744522341">
                      <w:marLeft w:val="0"/>
                      <w:marRight w:val="0"/>
                      <w:marTop w:val="0"/>
                      <w:marBottom w:val="0"/>
                      <w:divBdr>
                        <w:top w:val="none" w:sz="0" w:space="0" w:color="auto"/>
                        <w:left w:val="none" w:sz="0" w:space="0" w:color="auto"/>
                        <w:bottom w:val="none" w:sz="0" w:space="0" w:color="auto"/>
                        <w:right w:val="none" w:sz="0" w:space="0" w:color="auto"/>
                      </w:divBdr>
                      <w:divsChild>
                        <w:div w:id="841121487">
                          <w:marLeft w:val="0"/>
                          <w:marRight w:val="0"/>
                          <w:marTop w:val="0"/>
                          <w:marBottom w:val="0"/>
                          <w:divBdr>
                            <w:top w:val="none" w:sz="0" w:space="0" w:color="auto"/>
                            <w:left w:val="none" w:sz="0" w:space="0" w:color="auto"/>
                            <w:bottom w:val="none" w:sz="0" w:space="0" w:color="auto"/>
                            <w:right w:val="none" w:sz="0" w:space="0" w:color="auto"/>
                          </w:divBdr>
                        </w:div>
                      </w:divsChild>
                    </w:div>
                    <w:div w:id="1069881138">
                      <w:marLeft w:val="0"/>
                      <w:marRight w:val="0"/>
                      <w:marTop w:val="0"/>
                      <w:marBottom w:val="0"/>
                      <w:divBdr>
                        <w:top w:val="none" w:sz="0" w:space="0" w:color="auto"/>
                        <w:left w:val="none" w:sz="0" w:space="0" w:color="auto"/>
                        <w:bottom w:val="none" w:sz="0" w:space="0" w:color="auto"/>
                        <w:right w:val="none" w:sz="0" w:space="0" w:color="auto"/>
                      </w:divBdr>
                      <w:divsChild>
                        <w:div w:id="1518537730">
                          <w:marLeft w:val="0"/>
                          <w:marRight w:val="0"/>
                          <w:marTop w:val="0"/>
                          <w:marBottom w:val="0"/>
                          <w:divBdr>
                            <w:top w:val="none" w:sz="0" w:space="0" w:color="auto"/>
                            <w:left w:val="none" w:sz="0" w:space="0" w:color="auto"/>
                            <w:bottom w:val="none" w:sz="0" w:space="0" w:color="auto"/>
                            <w:right w:val="none" w:sz="0" w:space="0" w:color="auto"/>
                          </w:divBdr>
                        </w:div>
                      </w:divsChild>
                    </w:div>
                    <w:div w:id="1550607681">
                      <w:marLeft w:val="0"/>
                      <w:marRight w:val="0"/>
                      <w:marTop w:val="0"/>
                      <w:marBottom w:val="0"/>
                      <w:divBdr>
                        <w:top w:val="none" w:sz="0" w:space="0" w:color="auto"/>
                        <w:left w:val="none" w:sz="0" w:space="0" w:color="auto"/>
                        <w:bottom w:val="none" w:sz="0" w:space="0" w:color="auto"/>
                        <w:right w:val="none" w:sz="0" w:space="0" w:color="auto"/>
                      </w:divBdr>
                      <w:divsChild>
                        <w:div w:id="1935703298">
                          <w:marLeft w:val="0"/>
                          <w:marRight w:val="0"/>
                          <w:marTop w:val="0"/>
                          <w:marBottom w:val="0"/>
                          <w:divBdr>
                            <w:top w:val="none" w:sz="0" w:space="0" w:color="auto"/>
                            <w:left w:val="none" w:sz="0" w:space="0" w:color="auto"/>
                            <w:bottom w:val="none" w:sz="0" w:space="0" w:color="auto"/>
                            <w:right w:val="none" w:sz="0" w:space="0" w:color="auto"/>
                          </w:divBdr>
                        </w:div>
                      </w:divsChild>
                    </w:div>
                    <w:div w:id="1441878996">
                      <w:marLeft w:val="0"/>
                      <w:marRight w:val="0"/>
                      <w:marTop w:val="0"/>
                      <w:marBottom w:val="0"/>
                      <w:divBdr>
                        <w:top w:val="none" w:sz="0" w:space="0" w:color="auto"/>
                        <w:left w:val="none" w:sz="0" w:space="0" w:color="auto"/>
                        <w:bottom w:val="none" w:sz="0" w:space="0" w:color="auto"/>
                        <w:right w:val="none" w:sz="0" w:space="0" w:color="auto"/>
                      </w:divBdr>
                      <w:divsChild>
                        <w:div w:id="199437741">
                          <w:marLeft w:val="0"/>
                          <w:marRight w:val="0"/>
                          <w:marTop w:val="0"/>
                          <w:marBottom w:val="0"/>
                          <w:divBdr>
                            <w:top w:val="none" w:sz="0" w:space="0" w:color="auto"/>
                            <w:left w:val="none" w:sz="0" w:space="0" w:color="auto"/>
                            <w:bottom w:val="none" w:sz="0" w:space="0" w:color="auto"/>
                            <w:right w:val="none" w:sz="0" w:space="0" w:color="auto"/>
                          </w:divBdr>
                        </w:div>
                      </w:divsChild>
                    </w:div>
                    <w:div w:id="1265186029">
                      <w:marLeft w:val="0"/>
                      <w:marRight w:val="0"/>
                      <w:marTop w:val="0"/>
                      <w:marBottom w:val="0"/>
                      <w:divBdr>
                        <w:top w:val="none" w:sz="0" w:space="0" w:color="auto"/>
                        <w:left w:val="none" w:sz="0" w:space="0" w:color="auto"/>
                        <w:bottom w:val="none" w:sz="0" w:space="0" w:color="auto"/>
                        <w:right w:val="none" w:sz="0" w:space="0" w:color="auto"/>
                      </w:divBdr>
                      <w:divsChild>
                        <w:div w:id="141121237">
                          <w:marLeft w:val="0"/>
                          <w:marRight w:val="0"/>
                          <w:marTop w:val="0"/>
                          <w:marBottom w:val="0"/>
                          <w:divBdr>
                            <w:top w:val="none" w:sz="0" w:space="0" w:color="auto"/>
                            <w:left w:val="none" w:sz="0" w:space="0" w:color="auto"/>
                            <w:bottom w:val="none" w:sz="0" w:space="0" w:color="auto"/>
                            <w:right w:val="none" w:sz="0" w:space="0" w:color="auto"/>
                          </w:divBdr>
                        </w:div>
                      </w:divsChild>
                    </w:div>
                    <w:div w:id="742945320">
                      <w:marLeft w:val="0"/>
                      <w:marRight w:val="0"/>
                      <w:marTop w:val="0"/>
                      <w:marBottom w:val="0"/>
                      <w:divBdr>
                        <w:top w:val="none" w:sz="0" w:space="0" w:color="auto"/>
                        <w:left w:val="none" w:sz="0" w:space="0" w:color="auto"/>
                        <w:bottom w:val="none" w:sz="0" w:space="0" w:color="auto"/>
                        <w:right w:val="none" w:sz="0" w:space="0" w:color="auto"/>
                      </w:divBdr>
                      <w:divsChild>
                        <w:div w:id="53893918">
                          <w:marLeft w:val="0"/>
                          <w:marRight w:val="0"/>
                          <w:marTop w:val="0"/>
                          <w:marBottom w:val="0"/>
                          <w:divBdr>
                            <w:top w:val="none" w:sz="0" w:space="0" w:color="auto"/>
                            <w:left w:val="none" w:sz="0" w:space="0" w:color="auto"/>
                            <w:bottom w:val="none" w:sz="0" w:space="0" w:color="auto"/>
                            <w:right w:val="none" w:sz="0" w:space="0" w:color="auto"/>
                          </w:divBdr>
                        </w:div>
                      </w:divsChild>
                    </w:div>
                    <w:div w:id="726728795">
                      <w:marLeft w:val="0"/>
                      <w:marRight w:val="0"/>
                      <w:marTop w:val="0"/>
                      <w:marBottom w:val="0"/>
                      <w:divBdr>
                        <w:top w:val="none" w:sz="0" w:space="0" w:color="auto"/>
                        <w:left w:val="none" w:sz="0" w:space="0" w:color="auto"/>
                        <w:bottom w:val="none" w:sz="0" w:space="0" w:color="auto"/>
                        <w:right w:val="none" w:sz="0" w:space="0" w:color="auto"/>
                      </w:divBdr>
                      <w:divsChild>
                        <w:div w:id="247465428">
                          <w:marLeft w:val="0"/>
                          <w:marRight w:val="0"/>
                          <w:marTop w:val="0"/>
                          <w:marBottom w:val="0"/>
                          <w:divBdr>
                            <w:top w:val="none" w:sz="0" w:space="0" w:color="auto"/>
                            <w:left w:val="none" w:sz="0" w:space="0" w:color="auto"/>
                            <w:bottom w:val="none" w:sz="0" w:space="0" w:color="auto"/>
                            <w:right w:val="none" w:sz="0" w:space="0" w:color="auto"/>
                          </w:divBdr>
                        </w:div>
                        <w:div w:id="705063571">
                          <w:marLeft w:val="0"/>
                          <w:marRight w:val="0"/>
                          <w:marTop w:val="0"/>
                          <w:marBottom w:val="0"/>
                          <w:divBdr>
                            <w:top w:val="none" w:sz="0" w:space="0" w:color="auto"/>
                            <w:left w:val="none" w:sz="0" w:space="0" w:color="auto"/>
                            <w:bottom w:val="none" w:sz="0" w:space="0" w:color="auto"/>
                            <w:right w:val="none" w:sz="0" w:space="0" w:color="auto"/>
                          </w:divBdr>
                        </w:div>
                        <w:div w:id="892935124">
                          <w:marLeft w:val="0"/>
                          <w:marRight w:val="0"/>
                          <w:marTop w:val="0"/>
                          <w:marBottom w:val="0"/>
                          <w:divBdr>
                            <w:top w:val="none" w:sz="0" w:space="0" w:color="auto"/>
                            <w:left w:val="none" w:sz="0" w:space="0" w:color="auto"/>
                            <w:bottom w:val="none" w:sz="0" w:space="0" w:color="auto"/>
                            <w:right w:val="none" w:sz="0" w:space="0" w:color="auto"/>
                          </w:divBdr>
                        </w:div>
                      </w:divsChild>
                    </w:div>
                    <w:div w:id="2040160062">
                      <w:marLeft w:val="0"/>
                      <w:marRight w:val="0"/>
                      <w:marTop w:val="0"/>
                      <w:marBottom w:val="0"/>
                      <w:divBdr>
                        <w:top w:val="none" w:sz="0" w:space="0" w:color="auto"/>
                        <w:left w:val="none" w:sz="0" w:space="0" w:color="auto"/>
                        <w:bottom w:val="none" w:sz="0" w:space="0" w:color="auto"/>
                        <w:right w:val="none" w:sz="0" w:space="0" w:color="auto"/>
                      </w:divBdr>
                      <w:divsChild>
                        <w:div w:id="478350734">
                          <w:marLeft w:val="0"/>
                          <w:marRight w:val="0"/>
                          <w:marTop w:val="0"/>
                          <w:marBottom w:val="0"/>
                          <w:divBdr>
                            <w:top w:val="none" w:sz="0" w:space="0" w:color="auto"/>
                            <w:left w:val="none" w:sz="0" w:space="0" w:color="auto"/>
                            <w:bottom w:val="none" w:sz="0" w:space="0" w:color="auto"/>
                            <w:right w:val="none" w:sz="0" w:space="0" w:color="auto"/>
                          </w:divBdr>
                        </w:div>
                      </w:divsChild>
                    </w:div>
                    <w:div w:id="520437674">
                      <w:marLeft w:val="0"/>
                      <w:marRight w:val="0"/>
                      <w:marTop w:val="0"/>
                      <w:marBottom w:val="0"/>
                      <w:divBdr>
                        <w:top w:val="none" w:sz="0" w:space="0" w:color="auto"/>
                        <w:left w:val="none" w:sz="0" w:space="0" w:color="auto"/>
                        <w:bottom w:val="none" w:sz="0" w:space="0" w:color="auto"/>
                        <w:right w:val="none" w:sz="0" w:space="0" w:color="auto"/>
                      </w:divBdr>
                      <w:divsChild>
                        <w:div w:id="1863543159">
                          <w:marLeft w:val="0"/>
                          <w:marRight w:val="0"/>
                          <w:marTop w:val="0"/>
                          <w:marBottom w:val="0"/>
                          <w:divBdr>
                            <w:top w:val="none" w:sz="0" w:space="0" w:color="auto"/>
                            <w:left w:val="none" w:sz="0" w:space="0" w:color="auto"/>
                            <w:bottom w:val="none" w:sz="0" w:space="0" w:color="auto"/>
                            <w:right w:val="none" w:sz="0" w:space="0" w:color="auto"/>
                          </w:divBdr>
                        </w:div>
                      </w:divsChild>
                    </w:div>
                    <w:div w:id="872886151">
                      <w:marLeft w:val="0"/>
                      <w:marRight w:val="0"/>
                      <w:marTop w:val="0"/>
                      <w:marBottom w:val="0"/>
                      <w:divBdr>
                        <w:top w:val="none" w:sz="0" w:space="0" w:color="auto"/>
                        <w:left w:val="none" w:sz="0" w:space="0" w:color="auto"/>
                        <w:bottom w:val="none" w:sz="0" w:space="0" w:color="auto"/>
                        <w:right w:val="none" w:sz="0" w:space="0" w:color="auto"/>
                      </w:divBdr>
                      <w:divsChild>
                        <w:div w:id="2129663444">
                          <w:marLeft w:val="0"/>
                          <w:marRight w:val="0"/>
                          <w:marTop w:val="0"/>
                          <w:marBottom w:val="0"/>
                          <w:divBdr>
                            <w:top w:val="none" w:sz="0" w:space="0" w:color="auto"/>
                            <w:left w:val="none" w:sz="0" w:space="0" w:color="auto"/>
                            <w:bottom w:val="none" w:sz="0" w:space="0" w:color="auto"/>
                            <w:right w:val="none" w:sz="0" w:space="0" w:color="auto"/>
                          </w:divBdr>
                        </w:div>
                        <w:div w:id="1940336295">
                          <w:marLeft w:val="0"/>
                          <w:marRight w:val="0"/>
                          <w:marTop w:val="0"/>
                          <w:marBottom w:val="0"/>
                          <w:divBdr>
                            <w:top w:val="none" w:sz="0" w:space="0" w:color="auto"/>
                            <w:left w:val="none" w:sz="0" w:space="0" w:color="auto"/>
                            <w:bottom w:val="none" w:sz="0" w:space="0" w:color="auto"/>
                            <w:right w:val="none" w:sz="0" w:space="0" w:color="auto"/>
                          </w:divBdr>
                        </w:div>
                        <w:div w:id="1493792454">
                          <w:marLeft w:val="0"/>
                          <w:marRight w:val="0"/>
                          <w:marTop w:val="0"/>
                          <w:marBottom w:val="0"/>
                          <w:divBdr>
                            <w:top w:val="none" w:sz="0" w:space="0" w:color="auto"/>
                            <w:left w:val="none" w:sz="0" w:space="0" w:color="auto"/>
                            <w:bottom w:val="none" w:sz="0" w:space="0" w:color="auto"/>
                            <w:right w:val="none" w:sz="0" w:space="0" w:color="auto"/>
                          </w:divBdr>
                        </w:div>
                        <w:div w:id="1204366096">
                          <w:marLeft w:val="0"/>
                          <w:marRight w:val="0"/>
                          <w:marTop w:val="0"/>
                          <w:marBottom w:val="0"/>
                          <w:divBdr>
                            <w:top w:val="none" w:sz="0" w:space="0" w:color="auto"/>
                            <w:left w:val="none" w:sz="0" w:space="0" w:color="auto"/>
                            <w:bottom w:val="none" w:sz="0" w:space="0" w:color="auto"/>
                            <w:right w:val="none" w:sz="0" w:space="0" w:color="auto"/>
                          </w:divBdr>
                        </w:div>
                        <w:div w:id="557475506">
                          <w:marLeft w:val="0"/>
                          <w:marRight w:val="0"/>
                          <w:marTop w:val="0"/>
                          <w:marBottom w:val="0"/>
                          <w:divBdr>
                            <w:top w:val="none" w:sz="0" w:space="0" w:color="auto"/>
                            <w:left w:val="none" w:sz="0" w:space="0" w:color="auto"/>
                            <w:bottom w:val="none" w:sz="0" w:space="0" w:color="auto"/>
                            <w:right w:val="none" w:sz="0" w:space="0" w:color="auto"/>
                          </w:divBdr>
                        </w:div>
                        <w:div w:id="1943107334">
                          <w:marLeft w:val="0"/>
                          <w:marRight w:val="0"/>
                          <w:marTop w:val="0"/>
                          <w:marBottom w:val="0"/>
                          <w:divBdr>
                            <w:top w:val="none" w:sz="0" w:space="0" w:color="auto"/>
                            <w:left w:val="none" w:sz="0" w:space="0" w:color="auto"/>
                            <w:bottom w:val="none" w:sz="0" w:space="0" w:color="auto"/>
                            <w:right w:val="none" w:sz="0" w:space="0" w:color="auto"/>
                          </w:divBdr>
                        </w:div>
                        <w:div w:id="1461877567">
                          <w:marLeft w:val="0"/>
                          <w:marRight w:val="0"/>
                          <w:marTop w:val="0"/>
                          <w:marBottom w:val="0"/>
                          <w:divBdr>
                            <w:top w:val="none" w:sz="0" w:space="0" w:color="auto"/>
                            <w:left w:val="none" w:sz="0" w:space="0" w:color="auto"/>
                            <w:bottom w:val="none" w:sz="0" w:space="0" w:color="auto"/>
                            <w:right w:val="none" w:sz="0" w:space="0" w:color="auto"/>
                          </w:divBdr>
                        </w:div>
                        <w:div w:id="1578130147">
                          <w:marLeft w:val="0"/>
                          <w:marRight w:val="0"/>
                          <w:marTop w:val="0"/>
                          <w:marBottom w:val="0"/>
                          <w:divBdr>
                            <w:top w:val="none" w:sz="0" w:space="0" w:color="auto"/>
                            <w:left w:val="none" w:sz="0" w:space="0" w:color="auto"/>
                            <w:bottom w:val="none" w:sz="0" w:space="0" w:color="auto"/>
                            <w:right w:val="none" w:sz="0" w:space="0" w:color="auto"/>
                          </w:divBdr>
                        </w:div>
                        <w:div w:id="1687635837">
                          <w:marLeft w:val="0"/>
                          <w:marRight w:val="0"/>
                          <w:marTop w:val="0"/>
                          <w:marBottom w:val="0"/>
                          <w:divBdr>
                            <w:top w:val="none" w:sz="0" w:space="0" w:color="auto"/>
                            <w:left w:val="none" w:sz="0" w:space="0" w:color="auto"/>
                            <w:bottom w:val="none" w:sz="0" w:space="0" w:color="auto"/>
                            <w:right w:val="none" w:sz="0" w:space="0" w:color="auto"/>
                          </w:divBdr>
                        </w:div>
                        <w:div w:id="691414069">
                          <w:marLeft w:val="0"/>
                          <w:marRight w:val="0"/>
                          <w:marTop w:val="0"/>
                          <w:marBottom w:val="0"/>
                          <w:divBdr>
                            <w:top w:val="none" w:sz="0" w:space="0" w:color="auto"/>
                            <w:left w:val="none" w:sz="0" w:space="0" w:color="auto"/>
                            <w:bottom w:val="none" w:sz="0" w:space="0" w:color="auto"/>
                            <w:right w:val="none" w:sz="0" w:space="0" w:color="auto"/>
                          </w:divBdr>
                        </w:div>
                        <w:div w:id="251746486">
                          <w:marLeft w:val="0"/>
                          <w:marRight w:val="0"/>
                          <w:marTop w:val="0"/>
                          <w:marBottom w:val="0"/>
                          <w:divBdr>
                            <w:top w:val="none" w:sz="0" w:space="0" w:color="auto"/>
                            <w:left w:val="none" w:sz="0" w:space="0" w:color="auto"/>
                            <w:bottom w:val="none" w:sz="0" w:space="0" w:color="auto"/>
                            <w:right w:val="none" w:sz="0" w:space="0" w:color="auto"/>
                          </w:divBdr>
                        </w:div>
                        <w:div w:id="1520466665">
                          <w:marLeft w:val="0"/>
                          <w:marRight w:val="0"/>
                          <w:marTop w:val="0"/>
                          <w:marBottom w:val="0"/>
                          <w:divBdr>
                            <w:top w:val="none" w:sz="0" w:space="0" w:color="auto"/>
                            <w:left w:val="none" w:sz="0" w:space="0" w:color="auto"/>
                            <w:bottom w:val="none" w:sz="0" w:space="0" w:color="auto"/>
                            <w:right w:val="none" w:sz="0" w:space="0" w:color="auto"/>
                          </w:divBdr>
                        </w:div>
                        <w:div w:id="2027248000">
                          <w:marLeft w:val="0"/>
                          <w:marRight w:val="0"/>
                          <w:marTop w:val="0"/>
                          <w:marBottom w:val="0"/>
                          <w:divBdr>
                            <w:top w:val="none" w:sz="0" w:space="0" w:color="auto"/>
                            <w:left w:val="none" w:sz="0" w:space="0" w:color="auto"/>
                            <w:bottom w:val="none" w:sz="0" w:space="0" w:color="auto"/>
                            <w:right w:val="none" w:sz="0" w:space="0" w:color="auto"/>
                          </w:divBdr>
                        </w:div>
                        <w:div w:id="810177621">
                          <w:marLeft w:val="0"/>
                          <w:marRight w:val="0"/>
                          <w:marTop w:val="0"/>
                          <w:marBottom w:val="0"/>
                          <w:divBdr>
                            <w:top w:val="none" w:sz="0" w:space="0" w:color="auto"/>
                            <w:left w:val="none" w:sz="0" w:space="0" w:color="auto"/>
                            <w:bottom w:val="none" w:sz="0" w:space="0" w:color="auto"/>
                            <w:right w:val="none" w:sz="0" w:space="0" w:color="auto"/>
                          </w:divBdr>
                        </w:div>
                        <w:div w:id="1607074067">
                          <w:marLeft w:val="0"/>
                          <w:marRight w:val="0"/>
                          <w:marTop w:val="0"/>
                          <w:marBottom w:val="0"/>
                          <w:divBdr>
                            <w:top w:val="none" w:sz="0" w:space="0" w:color="auto"/>
                            <w:left w:val="none" w:sz="0" w:space="0" w:color="auto"/>
                            <w:bottom w:val="none" w:sz="0" w:space="0" w:color="auto"/>
                            <w:right w:val="none" w:sz="0" w:space="0" w:color="auto"/>
                          </w:divBdr>
                        </w:div>
                      </w:divsChild>
                    </w:div>
                    <w:div w:id="544485944">
                      <w:marLeft w:val="0"/>
                      <w:marRight w:val="0"/>
                      <w:marTop w:val="0"/>
                      <w:marBottom w:val="0"/>
                      <w:divBdr>
                        <w:top w:val="none" w:sz="0" w:space="0" w:color="auto"/>
                        <w:left w:val="none" w:sz="0" w:space="0" w:color="auto"/>
                        <w:bottom w:val="none" w:sz="0" w:space="0" w:color="auto"/>
                        <w:right w:val="none" w:sz="0" w:space="0" w:color="auto"/>
                      </w:divBdr>
                      <w:divsChild>
                        <w:div w:id="1757700991">
                          <w:marLeft w:val="0"/>
                          <w:marRight w:val="0"/>
                          <w:marTop w:val="0"/>
                          <w:marBottom w:val="0"/>
                          <w:divBdr>
                            <w:top w:val="none" w:sz="0" w:space="0" w:color="auto"/>
                            <w:left w:val="none" w:sz="0" w:space="0" w:color="auto"/>
                            <w:bottom w:val="none" w:sz="0" w:space="0" w:color="auto"/>
                            <w:right w:val="none" w:sz="0" w:space="0" w:color="auto"/>
                          </w:divBdr>
                        </w:div>
                      </w:divsChild>
                    </w:div>
                    <w:div w:id="1531189915">
                      <w:marLeft w:val="0"/>
                      <w:marRight w:val="0"/>
                      <w:marTop w:val="0"/>
                      <w:marBottom w:val="0"/>
                      <w:divBdr>
                        <w:top w:val="none" w:sz="0" w:space="0" w:color="auto"/>
                        <w:left w:val="none" w:sz="0" w:space="0" w:color="auto"/>
                        <w:bottom w:val="none" w:sz="0" w:space="0" w:color="auto"/>
                        <w:right w:val="none" w:sz="0" w:space="0" w:color="auto"/>
                      </w:divBdr>
                      <w:divsChild>
                        <w:div w:id="723674535">
                          <w:marLeft w:val="0"/>
                          <w:marRight w:val="0"/>
                          <w:marTop w:val="0"/>
                          <w:marBottom w:val="0"/>
                          <w:divBdr>
                            <w:top w:val="none" w:sz="0" w:space="0" w:color="auto"/>
                            <w:left w:val="none" w:sz="0" w:space="0" w:color="auto"/>
                            <w:bottom w:val="none" w:sz="0" w:space="0" w:color="auto"/>
                            <w:right w:val="none" w:sz="0" w:space="0" w:color="auto"/>
                          </w:divBdr>
                        </w:div>
                        <w:div w:id="1583294733">
                          <w:marLeft w:val="0"/>
                          <w:marRight w:val="0"/>
                          <w:marTop w:val="0"/>
                          <w:marBottom w:val="0"/>
                          <w:divBdr>
                            <w:top w:val="none" w:sz="0" w:space="0" w:color="auto"/>
                            <w:left w:val="none" w:sz="0" w:space="0" w:color="auto"/>
                            <w:bottom w:val="none" w:sz="0" w:space="0" w:color="auto"/>
                            <w:right w:val="none" w:sz="0" w:space="0" w:color="auto"/>
                          </w:divBdr>
                        </w:div>
                      </w:divsChild>
                    </w:div>
                    <w:div w:id="1476221136">
                      <w:marLeft w:val="0"/>
                      <w:marRight w:val="0"/>
                      <w:marTop w:val="0"/>
                      <w:marBottom w:val="0"/>
                      <w:divBdr>
                        <w:top w:val="none" w:sz="0" w:space="0" w:color="auto"/>
                        <w:left w:val="none" w:sz="0" w:space="0" w:color="auto"/>
                        <w:bottom w:val="none" w:sz="0" w:space="0" w:color="auto"/>
                        <w:right w:val="none" w:sz="0" w:space="0" w:color="auto"/>
                      </w:divBdr>
                      <w:divsChild>
                        <w:div w:id="1136024315">
                          <w:marLeft w:val="0"/>
                          <w:marRight w:val="0"/>
                          <w:marTop w:val="0"/>
                          <w:marBottom w:val="0"/>
                          <w:divBdr>
                            <w:top w:val="none" w:sz="0" w:space="0" w:color="auto"/>
                            <w:left w:val="none" w:sz="0" w:space="0" w:color="auto"/>
                            <w:bottom w:val="none" w:sz="0" w:space="0" w:color="auto"/>
                            <w:right w:val="none" w:sz="0" w:space="0" w:color="auto"/>
                          </w:divBdr>
                        </w:div>
                        <w:div w:id="1783069680">
                          <w:marLeft w:val="0"/>
                          <w:marRight w:val="0"/>
                          <w:marTop w:val="0"/>
                          <w:marBottom w:val="0"/>
                          <w:divBdr>
                            <w:top w:val="none" w:sz="0" w:space="0" w:color="auto"/>
                            <w:left w:val="none" w:sz="0" w:space="0" w:color="auto"/>
                            <w:bottom w:val="none" w:sz="0" w:space="0" w:color="auto"/>
                            <w:right w:val="none" w:sz="0" w:space="0" w:color="auto"/>
                          </w:divBdr>
                        </w:div>
                      </w:divsChild>
                    </w:div>
                    <w:div w:id="546794317">
                      <w:marLeft w:val="0"/>
                      <w:marRight w:val="0"/>
                      <w:marTop w:val="0"/>
                      <w:marBottom w:val="0"/>
                      <w:divBdr>
                        <w:top w:val="none" w:sz="0" w:space="0" w:color="auto"/>
                        <w:left w:val="none" w:sz="0" w:space="0" w:color="auto"/>
                        <w:bottom w:val="none" w:sz="0" w:space="0" w:color="auto"/>
                        <w:right w:val="none" w:sz="0" w:space="0" w:color="auto"/>
                      </w:divBdr>
                      <w:divsChild>
                        <w:div w:id="1200623718">
                          <w:marLeft w:val="0"/>
                          <w:marRight w:val="0"/>
                          <w:marTop w:val="0"/>
                          <w:marBottom w:val="0"/>
                          <w:divBdr>
                            <w:top w:val="none" w:sz="0" w:space="0" w:color="auto"/>
                            <w:left w:val="none" w:sz="0" w:space="0" w:color="auto"/>
                            <w:bottom w:val="none" w:sz="0" w:space="0" w:color="auto"/>
                            <w:right w:val="none" w:sz="0" w:space="0" w:color="auto"/>
                          </w:divBdr>
                        </w:div>
                      </w:divsChild>
                    </w:div>
                    <w:div w:id="915212055">
                      <w:marLeft w:val="0"/>
                      <w:marRight w:val="0"/>
                      <w:marTop w:val="0"/>
                      <w:marBottom w:val="0"/>
                      <w:divBdr>
                        <w:top w:val="none" w:sz="0" w:space="0" w:color="auto"/>
                        <w:left w:val="none" w:sz="0" w:space="0" w:color="auto"/>
                        <w:bottom w:val="none" w:sz="0" w:space="0" w:color="auto"/>
                        <w:right w:val="none" w:sz="0" w:space="0" w:color="auto"/>
                      </w:divBdr>
                      <w:divsChild>
                        <w:div w:id="2129857611">
                          <w:marLeft w:val="0"/>
                          <w:marRight w:val="0"/>
                          <w:marTop w:val="0"/>
                          <w:marBottom w:val="0"/>
                          <w:divBdr>
                            <w:top w:val="none" w:sz="0" w:space="0" w:color="auto"/>
                            <w:left w:val="none" w:sz="0" w:space="0" w:color="auto"/>
                            <w:bottom w:val="none" w:sz="0" w:space="0" w:color="auto"/>
                            <w:right w:val="none" w:sz="0" w:space="0" w:color="auto"/>
                          </w:divBdr>
                        </w:div>
                        <w:div w:id="48066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164596">
      <w:bodyDiv w:val="1"/>
      <w:marLeft w:val="0"/>
      <w:marRight w:val="0"/>
      <w:marTop w:val="0"/>
      <w:marBottom w:val="0"/>
      <w:divBdr>
        <w:top w:val="none" w:sz="0" w:space="0" w:color="auto"/>
        <w:left w:val="none" w:sz="0" w:space="0" w:color="auto"/>
        <w:bottom w:val="none" w:sz="0" w:space="0" w:color="auto"/>
        <w:right w:val="none" w:sz="0" w:space="0" w:color="auto"/>
      </w:divBdr>
    </w:div>
    <w:div w:id="897278325">
      <w:bodyDiv w:val="1"/>
      <w:marLeft w:val="0"/>
      <w:marRight w:val="0"/>
      <w:marTop w:val="0"/>
      <w:marBottom w:val="0"/>
      <w:divBdr>
        <w:top w:val="none" w:sz="0" w:space="0" w:color="auto"/>
        <w:left w:val="none" w:sz="0" w:space="0" w:color="auto"/>
        <w:bottom w:val="none" w:sz="0" w:space="0" w:color="auto"/>
        <w:right w:val="none" w:sz="0" w:space="0" w:color="auto"/>
      </w:divBdr>
    </w:div>
    <w:div w:id="1112628763">
      <w:bodyDiv w:val="1"/>
      <w:marLeft w:val="0"/>
      <w:marRight w:val="0"/>
      <w:marTop w:val="0"/>
      <w:marBottom w:val="0"/>
      <w:divBdr>
        <w:top w:val="none" w:sz="0" w:space="0" w:color="auto"/>
        <w:left w:val="none" w:sz="0" w:space="0" w:color="auto"/>
        <w:bottom w:val="none" w:sz="0" w:space="0" w:color="auto"/>
        <w:right w:val="none" w:sz="0" w:space="0" w:color="auto"/>
      </w:divBdr>
    </w:div>
    <w:div w:id="1168591048">
      <w:bodyDiv w:val="1"/>
      <w:marLeft w:val="0"/>
      <w:marRight w:val="0"/>
      <w:marTop w:val="0"/>
      <w:marBottom w:val="0"/>
      <w:divBdr>
        <w:top w:val="none" w:sz="0" w:space="0" w:color="auto"/>
        <w:left w:val="none" w:sz="0" w:space="0" w:color="auto"/>
        <w:bottom w:val="none" w:sz="0" w:space="0" w:color="auto"/>
        <w:right w:val="none" w:sz="0" w:space="0" w:color="auto"/>
      </w:divBdr>
    </w:div>
    <w:div w:id="1284577933">
      <w:bodyDiv w:val="1"/>
      <w:marLeft w:val="0"/>
      <w:marRight w:val="0"/>
      <w:marTop w:val="0"/>
      <w:marBottom w:val="0"/>
      <w:divBdr>
        <w:top w:val="none" w:sz="0" w:space="0" w:color="auto"/>
        <w:left w:val="none" w:sz="0" w:space="0" w:color="auto"/>
        <w:bottom w:val="none" w:sz="0" w:space="0" w:color="auto"/>
        <w:right w:val="none" w:sz="0" w:space="0" w:color="auto"/>
      </w:divBdr>
    </w:div>
    <w:div w:id="1702585576">
      <w:bodyDiv w:val="1"/>
      <w:marLeft w:val="0"/>
      <w:marRight w:val="0"/>
      <w:marTop w:val="0"/>
      <w:marBottom w:val="0"/>
      <w:divBdr>
        <w:top w:val="none" w:sz="0" w:space="0" w:color="auto"/>
        <w:left w:val="none" w:sz="0" w:space="0" w:color="auto"/>
        <w:bottom w:val="none" w:sz="0" w:space="0" w:color="auto"/>
        <w:right w:val="none" w:sz="0" w:space="0" w:color="auto"/>
      </w:divBdr>
    </w:div>
    <w:div w:id="1724064388">
      <w:bodyDiv w:val="1"/>
      <w:marLeft w:val="0"/>
      <w:marRight w:val="0"/>
      <w:marTop w:val="0"/>
      <w:marBottom w:val="0"/>
      <w:divBdr>
        <w:top w:val="none" w:sz="0" w:space="0" w:color="auto"/>
        <w:left w:val="none" w:sz="0" w:space="0" w:color="auto"/>
        <w:bottom w:val="none" w:sz="0" w:space="0" w:color="auto"/>
        <w:right w:val="none" w:sz="0" w:space="0" w:color="auto"/>
      </w:divBdr>
    </w:div>
    <w:div w:id="195097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869</TotalTime>
  <Pages>1</Pages>
  <Words>2806</Words>
  <Characters>15998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Morakhiya</dc:creator>
  <cp:keywords/>
  <dc:description/>
  <cp:lastModifiedBy>Swapnil Morakhiya</cp:lastModifiedBy>
  <cp:revision>4</cp:revision>
  <dcterms:created xsi:type="dcterms:W3CDTF">2022-03-18T16:38:00Z</dcterms:created>
  <dcterms:modified xsi:type="dcterms:W3CDTF">2022-03-27T08:02:00Z</dcterms:modified>
</cp:coreProperties>
</file>