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EC141" w14:textId="77777777" w:rsidR="00291D94" w:rsidRDefault="0078338F" w:rsidP="0078338F">
      <w:pPr>
        <w:rPr>
          <w:b/>
          <w:bCs/>
          <w:sz w:val="36"/>
          <w:szCs w:val="36"/>
          <w:u w:val="single"/>
        </w:rPr>
        <w:sectPr w:rsidR="00291D94" w:rsidSect="002A3037">
          <w:pgSz w:w="11906" w:h="16838"/>
          <w:pgMar w:top="0" w:right="0" w:bottom="0" w:left="0" w:header="709" w:footer="709" w:gutter="0"/>
          <w:cols w:space="708"/>
          <w:docGrid w:linePitch="360"/>
        </w:sectPr>
      </w:pPr>
      <w:r>
        <w:rPr>
          <w:b/>
          <w:bCs/>
          <w:noProof/>
          <w:sz w:val="36"/>
          <w:szCs w:val="36"/>
          <w:u w:val="single"/>
        </w:rPr>
        <w:drawing>
          <wp:inline distT="0" distB="0" distL="0" distR="0" wp14:anchorId="6C87F389" wp14:editId="2B62B89A">
            <wp:extent cx="7534910" cy="10625959"/>
            <wp:effectExtent l="0" t="0" r="889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7567682" cy="10672175"/>
                    </a:xfrm>
                    <a:prstGeom prst="rect">
                      <a:avLst/>
                    </a:prstGeom>
                  </pic:spPr>
                </pic:pic>
              </a:graphicData>
            </a:graphic>
          </wp:inline>
        </w:drawing>
      </w:r>
    </w:p>
    <w:p w14:paraId="40815761" w14:textId="77777777" w:rsidR="0078338F" w:rsidRDefault="0078338F" w:rsidP="0078338F">
      <w:pPr>
        <w:rPr>
          <w:b/>
          <w:bCs/>
          <w:sz w:val="36"/>
          <w:szCs w:val="36"/>
          <w:u w:val="single"/>
        </w:rPr>
      </w:pPr>
    </w:p>
    <w:p w14:paraId="0DAE7746" w14:textId="5B68D86B" w:rsidR="00291D94" w:rsidRDefault="00291D94" w:rsidP="0078338F">
      <w:pPr>
        <w:rPr>
          <w:b/>
          <w:bCs/>
          <w:sz w:val="36"/>
          <w:szCs w:val="36"/>
          <w:u w:val="single"/>
        </w:rPr>
      </w:pPr>
    </w:p>
    <w:p w14:paraId="604359CF" w14:textId="12D94B58" w:rsidR="00291D94" w:rsidRDefault="00291D94" w:rsidP="0078338F">
      <w:pPr>
        <w:rPr>
          <w:b/>
          <w:bCs/>
          <w:sz w:val="36"/>
          <w:szCs w:val="36"/>
          <w:u w:val="single"/>
        </w:rPr>
      </w:pPr>
    </w:p>
    <w:p w14:paraId="352C2D16" w14:textId="7ACA6EB8" w:rsidR="00291D94" w:rsidRDefault="00291D94" w:rsidP="0078338F">
      <w:pPr>
        <w:rPr>
          <w:b/>
          <w:bCs/>
          <w:sz w:val="36"/>
          <w:szCs w:val="36"/>
          <w:u w:val="single"/>
        </w:rPr>
      </w:pPr>
    </w:p>
    <w:p w14:paraId="43067EDB" w14:textId="77777777" w:rsidR="00291D94" w:rsidRDefault="00291D94" w:rsidP="0078338F">
      <w:pPr>
        <w:rPr>
          <w:b/>
          <w:bCs/>
          <w:sz w:val="36"/>
          <w:szCs w:val="36"/>
          <w:u w:val="single"/>
        </w:rPr>
      </w:pPr>
    </w:p>
    <w:p w14:paraId="50EEA951" w14:textId="0C12909D" w:rsidR="00F7100C" w:rsidRDefault="00F7100C" w:rsidP="00291D94">
      <w:pPr>
        <w:rPr>
          <w:b/>
          <w:bCs/>
          <w:sz w:val="36"/>
          <w:szCs w:val="36"/>
          <w:u w:val="single"/>
        </w:rPr>
      </w:pPr>
    </w:p>
    <w:tbl>
      <w:tblPr>
        <w:tblStyle w:val="TableGrid"/>
        <w:tblW w:w="0" w:type="auto"/>
        <w:tblLook w:val="04A0" w:firstRow="1" w:lastRow="0" w:firstColumn="1" w:lastColumn="0" w:noHBand="0" w:noVBand="1"/>
      </w:tblPr>
      <w:tblGrid>
        <w:gridCol w:w="1980"/>
        <w:gridCol w:w="7036"/>
      </w:tblGrid>
      <w:tr w:rsidR="00F7100C" w:rsidRPr="00324BC3" w14:paraId="1D21D6B5" w14:textId="77777777" w:rsidTr="00242BCE">
        <w:tc>
          <w:tcPr>
            <w:tcW w:w="1980" w:type="dxa"/>
          </w:tcPr>
          <w:p w14:paraId="58D7B841" w14:textId="68CDB66B" w:rsidR="00F7100C" w:rsidRPr="00324BC3" w:rsidRDefault="00352739" w:rsidP="004638B3">
            <w:pPr>
              <w:spacing w:line="480" w:lineRule="auto"/>
              <w:rPr>
                <w:b/>
                <w:bCs/>
                <w:sz w:val="36"/>
                <w:szCs w:val="36"/>
              </w:rPr>
            </w:pPr>
            <w:r w:rsidRPr="00324BC3">
              <w:rPr>
                <w:b/>
                <w:bCs/>
                <w:sz w:val="36"/>
                <w:szCs w:val="36"/>
              </w:rPr>
              <w:t>S. No</w:t>
            </w:r>
          </w:p>
        </w:tc>
        <w:tc>
          <w:tcPr>
            <w:tcW w:w="7036" w:type="dxa"/>
          </w:tcPr>
          <w:p w14:paraId="66C48B53" w14:textId="77777777" w:rsidR="00F7100C" w:rsidRPr="00324BC3" w:rsidRDefault="00F7100C" w:rsidP="004638B3">
            <w:pPr>
              <w:spacing w:line="480" w:lineRule="auto"/>
              <w:rPr>
                <w:b/>
                <w:bCs/>
                <w:sz w:val="36"/>
                <w:szCs w:val="36"/>
              </w:rPr>
            </w:pPr>
            <w:r w:rsidRPr="00324BC3">
              <w:rPr>
                <w:b/>
                <w:bCs/>
                <w:sz w:val="36"/>
                <w:szCs w:val="36"/>
              </w:rPr>
              <w:t>INDEX</w:t>
            </w:r>
          </w:p>
        </w:tc>
      </w:tr>
      <w:tr w:rsidR="00F7100C" w:rsidRPr="00F7100C" w14:paraId="39C3EDAB" w14:textId="77777777" w:rsidTr="00242BCE">
        <w:tc>
          <w:tcPr>
            <w:tcW w:w="1980" w:type="dxa"/>
          </w:tcPr>
          <w:p w14:paraId="36369248" w14:textId="77777777" w:rsidR="00F7100C" w:rsidRPr="00324BC3" w:rsidRDefault="00F7100C" w:rsidP="004638B3">
            <w:pPr>
              <w:spacing w:line="480" w:lineRule="auto"/>
              <w:rPr>
                <w:b/>
                <w:bCs/>
                <w:sz w:val="36"/>
                <w:szCs w:val="36"/>
              </w:rPr>
            </w:pPr>
            <w:r w:rsidRPr="00324BC3">
              <w:rPr>
                <w:b/>
                <w:bCs/>
                <w:sz w:val="36"/>
                <w:szCs w:val="36"/>
              </w:rPr>
              <w:t>1</w:t>
            </w:r>
          </w:p>
        </w:tc>
        <w:tc>
          <w:tcPr>
            <w:tcW w:w="7036" w:type="dxa"/>
          </w:tcPr>
          <w:p w14:paraId="6696944B" w14:textId="3164942B" w:rsidR="00F7100C" w:rsidRPr="00F7100C" w:rsidRDefault="00F7100C" w:rsidP="004638B3">
            <w:pPr>
              <w:spacing w:line="480" w:lineRule="auto"/>
              <w:rPr>
                <w:b/>
                <w:bCs/>
                <w:sz w:val="36"/>
                <w:szCs w:val="36"/>
              </w:rPr>
            </w:pPr>
            <w:r w:rsidRPr="00F7100C">
              <w:rPr>
                <w:b/>
                <w:bCs/>
                <w:sz w:val="36"/>
                <w:szCs w:val="36"/>
              </w:rPr>
              <w:t xml:space="preserve">Background And Introduction </w:t>
            </w:r>
            <w:r w:rsidR="00352739" w:rsidRPr="00F7100C">
              <w:rPr>
                <w:b/>
                <w:bCs/>
                <w:sz w:val="36"/>
                <w:szCs w:val="36"/>
              </w:rPr>
              <w:t>of</w:t>
            </w:r>
            <w:r w:rsidRPr="00F7100C">
              <w:rPr>
                <w:b/>
                <w:bCs/>
                <w:sz w:val="36"/>
                <w:szCs w:val="36"/>
              </w:rPr>
              <w:t xml:space="preserve"> Advanced Measurement </w:t>
            </w:r>
            <w:r w:rsidRPr="00F7100C">
              <w:rPr>
                <w:b/>
                <w:bCs/>
                <w:sz w:val="36"/>
                <w:szCs w:val="36"/>
              </w:rPr>
              <w:t>Approach (</w:t>
            </w:r>
            <w:r w:rsidRPr="00F7100C">
              <w:rPr>
                <w:b/>
                <w:bCs/>
                <w:sz w:val="36"/>
                <w:szCs w:val="36"/>
              </w:rPr>
              <w:t>AMA)</w:t>
            </w:r>
          </w:p>
        </w:tc>
      </w:tr>
      <w:tr w:rsidR="00F7100C" w:rsidRPr="00F7100C" w14:paraId="47396551" w14:textId="77777777" w:rsidTr="00242BCE">
        <w:tc>
          <w:tcPr>
            <w:tcW w:w="1980" w:type="dxa"/>
          </w:tcPr>
          <w:p w14:paraId="2C818C98" w14:textId="77777777" w:rsidR="00F7100C" w:rsidRPr="00324BC3" w:rsidRDefault="00F7100C" w:rsidP="004638B3">
            <w:pPr>
              <w:spacing w:line="480" w:lineRule="auto"/>
              <w:rPr>
                <w:b/>
                <w:bCs/>
                <w:sz w:val="36"/>
                <w:szCs w:val="36"/>
              </w:rPr>
            </w:pPr>
            <w:r w:rsidRPr="00324BC3">
              <w:rPr>
                <w:b/>
                <w:bCs/>
                <w:sz w:val="36"/>
                <w:szCs w:val="36"/>
              </w:rPr>
              <w:t>2</w:t>
            </w:r>
          </w:p>
        </w:tc>
        <w:tc>
          <w:tcPr>
            <w:tcW w:w="7036" w:type="dxa"/>
          </w:tcPr>
          <w:p w14:paraId="00FB6409" w14:textId="77777777" w:rsidR="00F7100C" w:rsidRPr="00F7100C" w:rsidRDefault="00F7100C" w:rsidP="004638B3">
            <w:pPr>
              <w:spacing w:line="480" w:lineRule="auto"/>
              <w:rPr>
                <w:b/>
                <w:bCs/>
                <w:sz w:val="36"/>
                <w:szCs w:val="36"/>
              </w:rPr>
            </w:pPr>
            <w:r w:rsidRPr="00F7100C">
              <w:rPr>
                <w:b/>
                <w:bCs/>
                <w:sz w:val="36"/>
                <w:szCs w:val="36"/>
              </w:rPr>
              <w:t>Detailed Description On AMA</w:t>
            </w:r>
          </w:p>
        </w:tc>
      </w:tr>
      <w:tr w:rsidR="00F7100C" w:rsidRPr="00F7100C" w14:paraId="0A353FFE" w14:textId="77777777" w:rsidTr="00242BCE">
        <w:tc>
          <w:tcPr>
            <w:tcW w:w="1980" w:type="dxa"/>
          </w:tcPr>
          <w:p w14:paraId="7FF0A92B" w14:textId="77777777" w:rsidR="00F7100C" w:rsidRPr="00324BC3" w:rsidRDefault="00F7100C" w:rsidP="004638B3">
            <w:pPr>
              <w:spacing w:line="480" w:lineRule="auto"/>
              <w:rPr>
                <w:b/>
                <w:bCs/>
                <w:sz w:val="36"/>
                <w:szCs w:val="36"/>
              </w:rPr>
            </w:pPr>
            <w:r w:rsidRPr="00324BC3">
              <w:rPr>
                <w:b/>
                <w:bCs/>
                <w:sz w:val="36"/>
                <w:szCs w:val="36"/>
              </w:rPr>
              <w:t>3</w:t>
            </w:r>
          </w:p>
        </w:tc>
        <w:tc>
          <w:tcPr>
            <w:tcW w:w="7036" w:type="dxa"/>
          </w:tcPr>
          <w:p w14:paraId="4E96CCA2" w14:textId="77777777" w:rsidR="00F7100C" w:rsidRPr="00F7100C" w:rsidRDefault="00F7100C" w:rsidP="004638B3">
            <w:pPr>
              <w:spacing w:line="480" w:lineRule="auto"/>
              <w:rPr>
                <w:b/>
                <w:bCs/>
                <w:sz w:val="36"/>
                <w:szCs w:val="36"/>
              </w:rPr>
            </w:pPr>
            <w:r w:rsidRPr="00F7100C">
              <w:rPr>
                <w:b/>
                <w:bCs/>
                <w:sz w:val="36"/>
                <w:szCs w:val="36"/>
              </w:rPr>
              <w:t>Benefits Of AMA Approach</w:t>
            </w:r>
          </w:p>
        </w:tc>
      </w:tr>
      <w:tr w:rsidR="00F7100C" w:rsidRPr="00F7100C" w14:paraId="03A27BFC" w14:textId="77777777" w:rsidTr="00242BCE">
        <w:tc>
          <w:tcPr>
            <w:tcW w:w="1980" w:type="dxa"/>
          </w:tcPr>
          <w:p w14:paraId="37E49E48" w14:textId="77777777" w:rsidR="00F7100C" w:rsidRPr="00324BC3" w:rsidRDefault="00F7100C" w:rsidP="004638B3">
            <w:pPr>
              <w:spacing w:line="480" w:lineRule="auto"/>
              <w:rPr>
                <w:b/>
                <w:bCs/>
                <w:sz w:val="36"/>
                <w:szCs w:val="36"/>
              </w:rPr>
            </w:pPr>
            <w:r w:rsidRPr="00324BC3">
              <w:rPr>
                <w:b/>
                <w:bCs/>
                <w:sz w:val="36"/>
                <w:szCs w:val="36"/>
              </w:rPr>
              <w:t>4</w:t>
            </w:r>
          </w:p>
        </w:tc>
        <w:tc>
          <w:tcPr>
            <w:tcW w:w="7036" w:type="dxa"/>
          </w:tcPr>
          <w:p w14:paraId="58991409" w14:textId="77777777" w:rsidR="00F7100C" w:rsidRPr="00F7100C" w:rsidRDefault="00F7100C" w:rsidP="004638B3">
            <w:pPr>
              <w:spacing w:line="480" w:lineRule="auto"/>
              <w:rPr>
                <w:b/>
                <w:bCs/>
                <w:sz w:val="36"/>
                <w:szCs w:val="36"/>
              </w:rPr>
            </w:pPr>
            <w:r w:rsidRPr="00F7100C">
              <w:rPr>
                <w:b/>
                <w:bCs/>
                <w:sz w:val="36"/>
                <w:szCs w:val="36"/>
              </w:rPr>
              <w:t>Drawbacks Of AMA</w:t>
            </w:r>
          </w:p>
        </w:tc>
      </w:tr>
      <w:tr w:rsidR="00F7100C" w:rsidRPr="00F7100C" w14:paraId="27DBCC54" w14:textId="77777777" w:rsidTr="00242BCE">
        <w:tc>
          <w:tcPr>
            <w:tcW w:w="1980" w:type="dxa"/>
          </w:tcPr>
          <w:p w14:paraId="0B7B1671" w14:textId="77777777" w:rsidR="00F7100C" w:rsidRPr="00324BC3" w:rsidRDefault="00F7100C" w:rsidP="004638B3">
            <w:pPr>
              <w:spacing w:line="480" w:lineRule="auto"/>
              <w:rPr>
                <w:b/>
                <w:bCs/>
                <w:sz w:val="36"/>
                <w:szCs w:val="36"/>
              </w:rPr>
            </w:pPr>
            <w:r w:rsidRPr="00324BC3">
              <w:rPr>
                <w:b/>
                <w:bCs/>
                <w:sz w:val="36"/>
                <w:szCs w:val="36"/>
              </w:rPr>
              <w:t>5</w:t>
            </w:r>
          </w:p>
        </w:tc>
        <w:tc>
          <w:tcPr>
            <w:tcW w:w="7036" w:type="dxa"/>
          </w:tcPr>
          <w:p w14:paraId="0C18A0C1" w14:textId="436234D5" w:rsidR="00F7100C" w:rsidRPr="00F7100C" w:rsidRDefault="00F7100C" w:rsidP="004638B3">
            <w:pPr>
              <w:spacing w:line="480" w:lineRule="auto"/>
              <w:rPr>
                <w:b/>
                <w:bCs/>
                <w:sz w:val="36"/>
                <w:szCs w:val="36"/>
              </w:rPr>
            </w:pPr>
            <w:r w:rsidRPr="00F7100C">
              <w:rPr>
                <w:b/>
                <w:bCs/>
                <w:sz w:val="36"/>
                <w:szCs w:val="36"/>
              </w:rPr>
              <w:t xml:space="preserve">Quantitative Methods </w:t>
            </w:r>
            <w:r w:rsidR="00352739" w:rsidRPr="00F7100C">
              <w:rPr>
                <w:b/>
                <w:bCs/>
                <w:sz w:val="36"/>
                <w:szCs w:val="36"/>
              </w:rPr>
              <w:t>of</w:t>
            </w:r>
            <w:r w:rsidRPr="00F7100C">
              <w:rPr>
                <w:b/>
                <w:bCs/>
                <w:sz w:val="36"/>
                <w:szCs w:val="36"/>
              </w:rPr>
              <w:t xml:space="preserve"> Modelling Operational Risk</w:t>
            </w:r>
          </w:p>
        </w:tc>
      </w:tr>
    </w:tbl>
    <w:p w14:paraId="30200E77" w14:textId="77777777" w:rsidR="00F7100C" w:rsidRDefault="00F7100C" w:rsidP="00B60F85">
      <w:pPr>
        <w:jc w:val="center"/>
        <w:rPr>
          <w:b/>
          <w:bCs/>
          <w:sz w:val="36"/>
          <w:szCs w:val="36"/>
          <w:u w:val="single"/>
        </w:rPr>
      </w:pPr>
    </w:p>
    <w:p w14:paraId="4464A0A6" w14:textId="6373E335" w:rsidR="00324BC3" w:rsidRDefault="00324BC3" w:rsidP="00B60F85">
      <w:pPr>
        <w:jc w:val="center"/>
        <w:rPr>
          <w:b/>
          <w:bCs/>
          <w:sz w:val="36"/>
          <w:szCs w:val="36"/>
          <w:u w:val="single"/>
        </w:rPr>
      </w:pPr>
    </w:p>
    <w:p w14:paraId="6FE05F76" w14:textId="0DBB31B3" w:rsidR="00324BC3" w:rsidRDefault="00324BC3" w:rsidP="00B60F85">
      <w:pPr>
        <w:jc w:val="center"/>
        <w:rPr>
          <w:b/>
          <w:bCs/>
          <w:sz w:val="36"/>
          <w:szCs w:val="36"/>
          <w:u w:val="single"/>
        </w:rPr>
      </w:pPr>
    </w:p>
    <w:p w14:paraId="161C978E" w14:textId="77777777" w:rsidR="004638B3" w:rsidRDefault="004638B3" w:rsidP="00F7100C">
      <w:pPr>
        <w:rPr>
          <w:b/>
          <w:bCs/>
          <w:sz w:val="36"/>
          <w:szCs w:val="36"/>
          <w:u w:val="single"/>
        </w:rPr>
      </w:pPr>
    </w:p>
    <w:p w14:paraId="743D7CF4" w14:textId="19BDA295" w:rsidR="00291D94" w:rsidRDefault="00291D94" w:rsidP="00F7100C">
      <w:pPr>
        <w:rPr>
          <w:b/>
          <w:bCs/>
          <w:sz w:val="36"/>
          <w:szCs w:val="36"/>
          <w:u w:val="single"/>
        </w:rPr>
      </w:pPr>
    </w:p>
    <w:p w14:paraId="4D760F09" w14:textId="77777777" w:rsidR="00DE2613" w:rsidRDefault="00DE2613" w:rsidP="00F7100C">
      <w:pPr>
        <w:rPr>
          <w:b/>
          <w:bCs/>
          <w:sz w:val="36"/>
          <w:szCs w:val="36"/>
          <w:u w:val="single"/>
        </w:rPr>
        <w:sectPr w:rsidR="00DE2613" w:rsidSect="002A3037">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52BB505" w14:textId="77777777" w:rsidR="00DE2613" w:rsidRDefault="00DE2613" w:rsidP="00F7100C">
      <w:pPr>
        <w:rPr>
          <w:b/>
          <w:bCs/>
          <w:sz w:val="36"/>
          <w:szCs w:val="36"/>
          <w:u w:val="single"/>
        </w:rPr>
        <w:sectPr w:rsidR="00DE2613" w:rsidSect="002A3037">
          <w:pgSz w:w="11906" w:h="16838"/>
          <w:pgMar w:top="0" w:right="0" w:bottom="0" w:left="0" w:header="709" w:footer="709" w:gutter="0"/>
          <w:cols w:space="708"/>
          <w:docGrid w:linePitch="360"/>
        </w:sectPr>
      </w:pPr>
      <w:r>
        <w:rPr>
          <w:b/>
          <w:bCs/>
          <w:noProof/>
          <w:sz w:val="36"/>
          <w:szCs w:val="36"/>
          <w:u w:val="single"/>
        </w:rPr>
        <w:drawing>
          <wp:inline distT="0" distB="0" distL="0" distR="0" wp14:anchorId="345DEE37" wp14:editId="2A8BB214">
            <wp:extent cx="7581900" cy="10642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7581900" cy="10642600"/>
                    </a:xfrm>
                    <a:prstGeom prst="rect">
                      <a:avLst/>
                    </a:prstGeom>
                  </pic:spPr>
                </pic:pic>
              </a:graphicData>
            </a:graphic>
          </wp:inline>
        </w:drawing>
      </w:r>
    </w:p>
    <w:p w14:paraId="27342213" w14:textId="77777777" w:rsidR="00DE2613" w:rsidRDefault="00DE2613" w:rsidP="00F7100C">
      <w:pPr>
        <w:rPr>
          <w:b/>
          <w:bCs/>
          <w:sz w:val="36"/>
          <w:szCs w:val="36"/>
          <w:u w:val="single"/>
        </w:rPr>
      </w:pPr>
    </w:p>
    <w:p w14:paraId="4B409B0C" w14:textId="422B0F03" w:rsidR="00B60F85" w:rsidRDefault="00324BC3" w:rsidP="00F7100C">
      <w:pPr>
        <w:rPr>
          <w:b/>
          <w:bCs/>
          <w:sz w:val="36"/>
          <w:szCs w:val="36"/>
          <w:u w:val="single"/>
        </w:rPr>
      </w:pPr>
      <w:r>
        <w:rPr>
          <w:b/>
          <w:bCs/>
          <w:sz w:val="36"/>
          <w:szCs w:val="36"/>
          <w:u w:val="single"/>
        </w:rPr>
        <w:t>INTRODUCTION TO ADVANCED MEASUREMENT APPROACH</w:t>
      </w:r>
    </w:p>
    <w:p w14:paraId="1F9C1071" w14:textId="77777777" w:rsidR="00DE2613" w:rsidRDefault="00DE2613" w:rsidP="00B60F85">
      <w:pPr>
        <w:rPr>
          <w:b/>
          <w:bCs/>
        </w:rPr>
      </w:pPr>
    </w:p>
    <w:p w14:paraId="500AA3DD" w14:textId="733A5356" w:rsidR="002B2736" w:rsidRPr="005D6E3F" w:rsidRDefault="00C91426" w:rsidP="00B60F85">
      <w:pPr>
        <w:rPr>
          <w:b/>
          <w:bCs/>
          <w:sz w:val="48"/>
          <w:szCs w:val="48"/>
          <w:u w:val="single"/>
        </w:rPr>
      </w:pPr>
      <w:r w:rsidRPr="005D6E3F">
        <w:rPr>
          <w:b/>
          <w:bCs/>
          <w:sz w:val="32"/>
          <w:szCs w:val="32"/>
          <w:u w:val="single"/>
        </w:rPr>
        <w:t>BASEL II</w:t>
      </w:r>
    </w:p>
    <w:p w14:paraId="48952633" w14:textId="13ACA3F1" w:rsidR="002B2736" w:rsidRPr="001074F3" w:rsidRDefault="002B2736" w:rsidP="00B60F85">
      <w:pPr>
        <w:rPr>
          <w:sz w:val="24"/>
          <w:szCs w:val="24"/>
        </w:rPr>
      </w:pPr>
      <w:r w:rsidRPr="001074F3">
        <w:rPr>
          <w:sz w:val="24"/>
          <w:szCs w:val="24"/>
        </w:rPr>
        <w:t xml:space="preserve">BASEL II is the global risk framework designed to promote stability in the banking </w:t>
      </w:r>
      <w:r w:rsidR="00B60F85" w:rsidRPr="001074F3">
        <w:rPr>
          <w:sz w:val="24"/>
          <w:szCs w:val="24"/>
        </w:rPr>
        <w:t>sector.</w:t>
      </w:r>
      <w:r w:rsidR="00C91426" w:rsidRPr="001074F3">
        <w:rPr>
          <w:sz w:val="24"/>
          <w:szCs w:val="24"/>
        </w:rPr>
        <w:t xml:space="preserve"> It is published and updated by the BASEL Committee on the Banking </w:t>
      </w:r>
      <w:r w:rsidR="00B60F85" w:rsidRPr="001074F3">
        <w:rPr>
          <w:sz w:val="24"/>
          <w:szCs w:val="24"/>
        </w:rPr>
        <w:t>Supervision. It</w:t>
      </w:r>
      <w:r w:rsidR="00C91426" w:rsidRPr="001074F3">
        <w:rPr>
          <w:sz w:val="24"/>
          <w:szCs w:val="24"/>
        </w:rPr>
        <w:t xml:space="preserve"> has no formal supernational authority and merely recommends statements of </w:t>
      </w:r>
      <w:r w:rsidR="00B60F85" w:rsidRPr="001074F3">
        <w:rPr>
          <w:sz w:val="24"/>
          <w:szCs w:val="24"/>
        </w:rPr>
        <w:t>best practice</w:t>
      </w:r>
      <w:r w:rsidR="00C91426" w:rsidRPr="001074F3">
        <w:rPr>
          <w:sz w:val="24"/>
          <w:szCs w:val="24"/>
        </w:rPr>
        <w:t xml:space="preserve">. </w:t>
      </w:r>
    </w:p>
    <w:p w14:paraId="62DC4323" w14:textId="4677F9F0" w:rsidR="00C91426" w:rsidRPr="001074F3" w:rsidRDefault="00B60F85" w:rsidP="00B60F85">
      <w:pPr>
        <w:rPr>
          <w:sz w:val="24"/>
          <w:szCs w:val="24"/>
        </w:rPr>
      </w:pPr>
      <w:r w:rsidRPr="001074F3">
        <w:rPr>
          <w:sz w:val="24"/>
          <w:szCs w:val="24"/>
        </w:rPr>
        <w:t>The Basel II Framework gives banks four options that they can use to calculate regulatory capital for operational risk. Each of these options requires an underlying risk measurement and management system, with increasing complexity and more refined capital calculations as one moves from the most basic to the most advanced approaches.</w:t>
      </w:r>
    </w:p>
    <w:p w14:paraId="0EA8FCA5" w14:textId="77777777" w:rsidR="00DE2613" w:rsidRDefault="00DE2613" w:rsidP="00B60F85"/>
    <w:p w14:paraId="5620E181" w14:textId="4738EEBD" w:rsidR="00DE2613" w:rsidRPr="005D6E3F" w:rsidRDefault="00DE2613" w:rsidP="00B60F85">
      <w:pPr>
        <w:rPr>
          <w:b/>
          <w:bCs/>
          <w:sz w:val="32"/>
          <w:szCs w:val="32"/>
          <w:u w:val="single"/>
        </w:rPr>
      </w:pPr>
      <w:r w:rsidRPr="005D6E3F">
        <w:rPr>
          <w:b/>
          <w:bCs/>
          <w:sz w:val="32"/>
          <w:szCs w:val="32"/>
          <w:u w:val="single"/>
        </w:rPr>
        <w:t xml:space="preserve">OPERATIONAL RISK </w:t>
      </w:r>
    </w:p>
    <w:p w14:paraId="3F1CD216" w14:textId="547196E0" w:rsidR="002251F1" w:rsidRPr="001074F3" w:rsidRDefault="001074F3" w:rsidP="00B60F85">
      <w:pPr>
        <w:rPr>
          <w:sz w:val="24"/>
          <w:szCs w:val="24"/>
        </w:rPr>
      </w:pPr>
      <w:r>
        <w:rPr>
          <w:sz w:val="24"/>
          <w:szCs w:val="24"/>
        </w:rPr>
        <w:t>I</w:t>
      </w:r>
      <w:r w:rsidR="002251F1" w:rsidRPr="001074F3">
        <w:rPr>
          <w:sz w:val="24"/>
          <w:szCs w:val="24"/>
        </w:rPr>
        <w:t xml:space="preserve">s the risk of loss resulting from inadequate and failed internal processes, people or systems or from external </w:t>
      </w:r>
      <w:r w:rsidR="00352739" w:rsidRPr="001074F3">
        <w:rPr>
          <w:sz w:val="24"/>
          <w:szCs w:val="24"/>
        </w:rPr>
        <w:t>events?</w:t>
      </w:r>
      <w:r w:rsidR="002251F1" w:rsidRPr="001074F3">
        <w:rPr>
          <w:sz w:val="24"/>
          <w:szCs w:val="24"/>
        </w:rPr>
        <w:t xml:space="preserve"> This definition includes legal risk, but excludes strategic and reputational risk.</w:t>
      </w:r>
    </w:p>
    <w:p w14:paraId="7794385A" w14:textId="77777777" w:rsidR="00A973E4" w:rsidRDefault="00A973E4" w:rsidP="00B60F85"/>
    <w:p w14:paraId="1440C623" w14:textId="37025A39" w:rsidR="00DE2613" w:rsidRPr="005D6E3F" w:rsidRDefault="001074F3" w:rsidP="00B60F85">
      <w:pPr>
        <w:rPr>
          <w:b/>
          <w:bCs/>
          <w:sz w:val="32"/>
          <w:szCs w:val="32"/>
          <w:u w:val="single"/>
        </w:rPr>
      </w:pPr>
      <w:r w:rsidRPr="005D6E3F">
        <w:rPr>
          <w:b/>
          <w:bCs/>
          <w:sz w:val="32"/>
          <w:szCs w:val="32"/>
          <w:u w:val="single"/>
        </w:rPr>
        <w:t>ADVANCED MANAGEMENT</w:t>
      </w:r>
      <w:r w:rsidR="00A973E4" w:rsidRPr="005D6E3F">
        <w:rPr>
          <w:b/>
          <w:bCs/>
          <w:sz w:val="32"/>
          <w:szCs w:val="32"/>
          <w:u w:val="single"/>
        </w:rPr>
        <w:t xml:space="preserve"> APPROACH</w:t>
      </w:r>
    </w:p>
    <w:p w14:paraId="1187D540" w14:textId="77777777" w:rsidR="00A973E4" w:rsidRPr="001074F3" w:rsidRDefault="00A973E4" w:rsidP="00A973E4">
      <w:pPr>
        <w:rPr>
          <w:sz w:val="24"/>
          <w:szCs w:val="24"/>
        </w:rPr>
      </w:pPr>
      <w:r w:rsidRPr="001074F3">
        <w:rPr>
          <w:sz w:val="24"/>
          <w:szCs w:val="24"/>
        </w:rPr>
        <w:t>The most sophisticated and complex option under Basel II is the Advanced Measurement Approach (AMA). The other two are the </w:t>
      </w:r>
      <w:hyperlink r:id="rId10" w:tooltip="Basic Indicator Approach" w:history="1">
        <w:r w:rsidRPr="001074F3">
          <w:rPr>
            <w:sz w:val="24"/>
            <w:szCs w:val="24"/>
          </w:rPr>
          <w:t>Basic Indicator Approach</w:t>
        </w:r>
      </w:hyperlink>
      <w:r w:rsidRPr="001074F3">
        <w:rPr>
          <w:sz w:val="24"/>
          <w:szCs w:val="24"/>
        </w:rPr>
        <w:t> and the </w:t>
      </w:r>
      <w:hyperlink r:id="rId11" w:tooltip="Standardized approach (operational risk)" w:history="1">
        <w:r w:rsidRPr="001074F3">
          <w:rPr>
            <w:sz w:val="24"/>
            <w:szCs w:val="24"/>
          </w:rPr>
          <w:t>Standardised Approach</w:t>
        </w:r>
      </w:hyperlink>
      <w:r w:rsidRPr="001074F3">
        <w:rPr>
          <w:sz w:val="24"/>
          <w:szCs w:val="24"/>
        </w:rPr>
        <w:t>. Advanced Measurement Approach allows a bank to calculate its regulatory capital charge using internal models, based on internal risk variables and profiles, and not on exposure proxies such as gross income. This is the only risk-sensitive approach for operational risk allowed and described in Basel II.</w:t>
      </w:r>
    </w:p>
    <w:p w14:paraId="215539EE" w14:textId="77777777" w:rsidR="00A973E4" w:rsidRPr="001074F3" w:rsidRDefault="00A973E4" w:rsidP="00A973E4">
      <w:pPr>
        <w:rPr>
          <w:sz w:val="24"/>
          <w:szCs w:val="24"/>
        </w:rPr>
      </w:pPr>
      <w:r w:rsidRPr="001074F3">
        <w:rPr>
          <w:sz w:val="24"/>
          <w:szCs w:val="24"/>
        </w:rPr>
        <w:t>Under AMA the bank will be allowed to develop their own empirical model to quantify required capital for operational risk. Banks can use this approach only subject to approval from their local regulators. Once a bank has been approved to adopt AMA, it cannot revert to a simpler approach without supervisory approval.</w:t>
      </w:r>
    </w:p>
    <w:p w14:paraId="0488C450" w14:textId="77777777" w:rsidR="00DE2613" w:rsidRDefault="00DE2613" w:rsidP="00B60F85">
      <w:pPr>
        <w:rPr>
          <w:b/>
          <w:bCs/>
          <w:sz w:val="36"/>
          <w:szCs w:val="36"/>
        </w:rPr>
      </w:pPr>
    </w:p>
    <w:p w14:paraId="6212CB02" w14:textId="1CF72D44" w:rsidR="00DE2613" w:rsidRPr="00352739" w:rsidRDefault="00352739" w:rsidP="00B60F85">
      <w:pPr>
        <w:rPr>
          <w:sz w:val="36"/>
          <w:szCs w:val="36"/>
        </w:rPr>
      </w:pPr>
      <w:r w:rsidRPr="00352739">
        <w:rPr>
          <w:sz w:val="36"/>
          <w:szCs w:val="36"/>
        </w:rPr>
        <w:t>-----------------------------------xxx-------------------------------------</w:t>
      </w:r>
    </w:p>
    <w:p w14:paraId="3C1BD016" w14:textId="77777777" w:rsidR="00DE2613" w:rsidRDefault="00DE2613" w:rsidP="00B60F85">
      <w:pPr>
        <w:rPr>
          <w:b/>
          <w:bCs/>
          <w:sz w:val="36"/>
          <w:szCs w:val="36"/>
        </w:rPr>
      </w:pPr>
    </w:p>
    <w:p w14:paraId="3C6DA667" w14:textId="77777777" w:rsidR="00DE2613" w:rsidRDefault="00DE2613" w:rsidP="00B60F85">
      <w:pPr>
        <w:rPr>
          <w:b/>
          <w:bCs/>
          <w:sz w:val="36"/>
          <w:szCs w:val="36"/>
        </w:rPr>
      </w:pPr>
    </w:p>
    <w:p w14:paraId="0817CAE6" w14:textId="3E91D152" w:rsidR="00B2752C" w:rsidRDefault="00B2752C" w:rsidP="00B60F85">
      <w:pPr>
        <w:rPr>
          <w:b/>
          <w:bCs/>
          <w:sz w:val="36"/>
          <w:szCs w:val="36"/>
        </w:rPr>
        <w:sectPr w:rsidR="00B2752C" w:rsidSect="002A3037">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3CF949A" w14:textId="77777777" w:rsidR="00B2752C" w:rsidRDefault="00B2752C" w:rsidP="00B60F85">
      <w:pPr>
        <w:rPr>
          <w:b/>
          <w:bCs/>
          <w:sz w:val="36"/>
          <w:szCs w:val="36"/>
        </w:rPr>
        <w:sectPr w:rsidR="00B2752C" w:rsidSect="00FB6277">
          <w:pgSz w:w="11906" w:h="16838"/>
          <w:pgMar w:top="0" w:right="0" w:bottom="0" w:left="0" w:header="709" w:footer="709" w:gutter="0"/>
          <w:cols w:space="708"/>
          <w:docGrid w:linePitch="360"/>
        </w:sectPr>
      </w:pPr>
      <w:r w:rsidRPr="00A973E4">
        <w:rPr>
          <w:b/>
          <w:bCs/>
          <w:noProof/>
          <w:sz w:val="36"/>
          <w:szCs w:val="36"/>
          <w:u w:val="single"/>
        </w:rPr>
        <w:drawing>
          <wp:inline distT="0" distB="0" distL="0" distR="0" wp14:anchorId="5A974042" wp14:editId="0692E6B7">
            <wp:extent cx="7559675" cy="10706986"/>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7571765" cy="10724109"/>
                    </a:xfrm>
                    <a:prstGeom prst="rect">
                      <a:avLst/>
                    </a:prstGeom>
                  </pic:spPr>
                </pic:pic>
              </a:graphicData>
            </a:graphic>
          </wp:inline>
        </w:drawing>
      </w:r>
    </w:p>
    <w:p w14:paraId="788DC3F9" w14:textId="6F16D932" w:rsidR="00DE2613" w:rsidRDefault="00DE2613" w:rsidP="00B60F85">
      <w:pPr>
        <w:rPr>
          <w:b/>
          <w:bCs/>
          <w:sz w:val="36"/>
          <w:szCs w:val="36"/>
        </w:rPr>
      </w:pPr>
    </w:p>
    <w:p w14:paraId="361A686E" w14:textId="63FDF187" w:rsidR="00F7100C" w:rsidRPr="005D6E3F" w:rsidRDefault="00F7100C" w:rsidP="004D2E91">
      <w:pPr>
        <w:jc w:val="center"/>
        <w:rPr>
          <w:u w:val="single"/>
        </w:rPr>
      </w:pPr>
      <w:r w:rsidRPr="005D6E3F">
        <w:rPr>
          <w:b/>
          <w:bCs/>
          <w:sz w:val="36"/>
          <w:szCs w:val="36"/>
          <w:u w:val="single"/>
        </w:rPr>
        <w:t>DETAILED DESCPRIPTION ON AMA</w:t>
      </w:r>
    </w:p>
    <w:p w14:paraId="46F97237" w14:textId="5D81C77A" w:rsidR="006258ED" w:rsidRPr="006258ED" w:rsidRDefault="006258ED" w:rsidP="001074F3">
      <w:pPr>
        <w:rPr>
          <w:sz w:val="24"/>
          <w:szCs w:val="24"/>
        </w:rPr>
      </w:pPr>
      <w:r w:rsidRPr="006258ED">
        <w:rPr>
          <w:sz w:val="24"/>
          <w:szCs w:val="24"/>
        </w:rPr>
        <w:t xml:space="preserve">The underlying idea of the AMA is that banks use their internal models to estimate regulatory </w:t>
      </w:r>
    </w:p>
    <w:p w14:paraId="6A9F7C0C" w14:textId="77777777" w:rsidR="006258ED" w:rsidRPr="006258ED" w:rsidRDefault="006258ED" w:rsidP="001074F3">
      <w:pPr>
        <w:rPr>
          <w:sz w:val="24"/>
          <w:szCs w:val="24"/>
        </w:rPr>
      </w:pPr>
      <w:r w:rsidRPr="006258ED">
        <w:rPr>
          <w:sz w:val="24"/>
          <w:szCs w:val="24"/>
        </w:rPr>
        <w:t xml:space="preserve">capital, which would align it with economic </w:t>
      </w:r>
      <w:r w:rsidRPr="006258ED">
        <w:rPr>
          <w:sz w:val="24"/>
          <w:szCs w:val="24"/>
        </w:rPr>
        <w:lastRenderedPageBreak/>
        <w:t xml:space="preserve">capital, thus eliminating any incentive for </w:t>
      </w:r>
    </w:p>
    <w:p w14:paraId="0366D0EC" w14:textId="77777777" w:rsidR="006258ED" w:rsidRPr="006258ED" w:rsidRDefault="006258ED" w:rsidP="001074F3">
      <w:pPr>
        <w:rPr>
          <w:sz w:val="24"/>
          <w:szCs w:val="24"/>
        </w:rPr>
      </w:pPr>
      <w:r w:rsidRPr="006258ED">
        <w:rPr>
          <w:sz w:val="24"/>
          <w:szCs w:val="24"/>
        </w:rPr>
        <w:t xml:space="preserve">regulatory arbitrage. While the development of internal models and the implementation </w:t>
      </w:r>
    </w:p>
    <w:p w14:paraId="1A69AB2E" w14:textId="77777777" w:rsidR="006258ED" w:rsidRPr="006258ED" w:rsidRDefault="006258ED" w:rsidP="001074F3">
      <w:pPr>
        <w:rPr>
          <w:sz w:val="24"/>
          <w:szCs w:val="24"/>
        </w:rPr>
      </w:pPr>
      <w:r w:rsidRPr="006258ED">
        <w:rPr>
          <w:sz w:val="24"/>
          <w:szCs w:val="24"/>
        </w:rPr>
        <w:t xml:space="preserve">of the AMA require significant resources, it is </w:t>
      </w:r>
      <w:r w:rsidRPr="006258ED">
        <w:rPr>
          <w:sz w:val="24"/>
          <w:szCs w:val="24"/>
        </w:rPr>
        <w:lastRenderedPageBreak/>
        <w:t xml:space="preserve">typically suggested that the incentive for </w:t>
      </w:r>
    </w:p>
    <w:p w14:paraId="62D8B516" w14:textId="77777777" w:rsidR="006258ED" w:rsidRPr="006258ED" w:rsidRDefault="006258ED" w:rsidP="001074F3">
      <w:pPr>
        <w:rPr>
          <w:sz w:val="24"/>
          <w:szCs w:val="24"/>
        </w:rPr>
      </w:pPr>
      <w:r w:rsidRPr="006258ED">
        <w:rPr>
          <w:sz w:val="24"/>
          <w:szCs w:val="24"/>
        </w:rPr>
        <w:t xml:space="preserve">banks to use the AMA is that it produces lower capital charges than the much simpler </w:t>
      </w:r>
    </w:p>
    <w:p w14:paraId="2EA801BB" w14:textId="77777777" w:rsidR="006258ED" w:rsidRPr="006258ED" w:rsidRDefault="006258ED" w:rsidP="001074F3">
      <w:pPr>
        <w:rPr>
          <w:sz w:val="24"/>
          <w:szCs w:val="24"/>
        </w:rPr>
      </w:pPr>
      <w:r w:rsidRPr="006258ED">
        <w:rPr>
          <w:sz w:val="24"/>
          <w:szCs w:val="24"/>
        </w:rPr>
        <w:t xml:space="preserve">basic indicators approach (BIA) and the </w:t>
      </w:r>
      <w:r w:rsidRPr="006258ED">
        <w:rPr>
          <w:sz w:val="24"/>
          <w:szCs w:val="24"/>
        </w:rPr>
        <w:lastRenderedPageBreak/>
        <w:t>standardised approach (STA).</w:t>
      </w:r>
    </w:p>
    <w:p w14:paraId="070BE511" w14:textId="3C320C19" w:rsidR="00421EC2" w:rsidRPr="001074F3" w:rsidRDefault="00421EC2">
      <w:pPr>
        <w:rPr>
          <w:sz w:val="24"/>
          <w:szCs w:val="24"/>
        </w:rPr>
      </w:pPr>
    </w:p>
    <w:p w14:paraId="6706F8BE" w14:textId="6A655456" w:rsidR="00421EC2" w:rsidRPr="001074F3" w:rsidRDefault="00421EC2">
      <w:pPr>
        <w:rPr>
          <w:sz w:val="24"/>
          <w:szCs w:val="24"/>
        </w:rPr>
      </w:pPr>
      <w:r w:rsidRPr="001074F3">
        <w:rPr>
          <w:sz w:val="24"/>
          <w:szCs w:val="24"/>
        </w:rPr>
        <w:t xml:space="preserve">According to my evaluation the bank is eligible to migrate to the AMA approach which suggests that the general standards for using the AMA has been met which are as follows </w:t>
      </w:r>
    </w:p>
    <w:p w14:paraId="4C61505E" w14:textId="77777777" w:rsidR="00A973E4" w:rsidRDefault="00A973E4">
      <w:pPr>
        <w:rPr>
          <w:rFonts w:ascii="Arial" w:hAnsi="Arial" w:cs="Arial"/>
          <w:color w:val="202122"/>
          <w:sz w:val="21"/>
          <w:szCs w:val="21"/>
          <w:shd w:val="clear" w:color="auto" w:fill="FFFFFF"/>
        </w:rPr>
      </w:pPr>
    </w:p>
    <w:p w14:paraId="60588C99" w14:textId="1C7C76AE" w:rsidR="00421EC2" w:rsidRPr="00421EC2" w:rsidRDefault="00421EC2" w:rsidP="001074F3">
      <w:pPr>
        <w:rPr>
          <w:sz w:val="24"/>
          <w:szCs w:val="24"/>
        </w:rPr>
      </w:pPr>
      <w:r w:rsidRPr="001074F3">
        <w:rPr>
          <w:sz w:val="24"/>
          <w:szCs w:val="24"/>
        </w:rPr>
        <w:t xml:space="preserve">A </w:t>
      </w:r>
      <w:r w:rsidRPr="00421EC2">
        <w:rPr>
          <w:sz w:val="24"/>
          <w:szCs w:val="24"/>
        </w:rPr>
        <w:t>bank must satisfy its supervisor that, at a minimum:</w:t>
      </w:r>
    </w:p>
    <w:p w14:paraId="4329E802" w14:textId="19D8F3B1" w:rsidR="00012259" w:rsidRPr="001074F3" w:rsidRDefault="00421EC2" w:rsidP="001074F3">
      <w:pPr>
        <w:pStyle w:val="ListParagraph"/>
        <w:numPr>
          <w:ilvl w:val="0"/>
          <w:numId w:val="7"/>
        </w:numPr>
        <w:rPr>
          <w:sz w:val="24"/>
          <w:szCs w:val="24"/>
        </w:rPr>
      </w:pPr>
      <w:r w:rsidRPr="001074F3">
        <w:rPr>
          <w:sz w:val="24"/>
          <w:szCs w:val="24"/>
        </w:rPr>
        <w:t>Its board of directors and senior management, as appropriate, are actively involved in the oversight of the operational risk management framework;</w:t>
      </w:r>
    </w:p>
    <w:p w14:paraId="25B6EE1E" w14:textId="4E10FBAB" w:rsidR="00012259" w:rsidRPr="001074F3" w:rsidRDefault="00421EC2" w:rsidP="001074F3">
      <w:pPr>
        <w:pStyle w:val="ListParagraph"/>
        <w:numPr>
          <w:ilvl w:val="0"/>
          <w:numId w:val="7"/>
        </w:numPr>
        <w:rPr>
          <w:sz w:val="24"/>
          <w:szCs w:val="24"/>
        </w:rPr>
      </w:pPr>
      <w:r w:rsidRPr="001074F3">
        <w:rPr>
          <w:sz w:val="24"/>
          <w:szCs w:val="24"/>
        </w:rPr>
        <w:t>It has an operational risk management system that is conceptually sound and is implemented with integrity; and</w:t>
      </w:r>
    </w:p>
    <w:p w14:paraId="6660E0AB" w14:textId="558DBCDD" w:rsidR="00421EC2" w:rsidRPr="001074F3" w:rsidRDefault="00421EC2" w:rsidP="001074F3">
      <w:pPr>
        <w:pStyle w:val="ListParagraph"/>
        <w:numPr>
          <w:ilvl w:val="0"/>
          <w:numId w:val="7"/>
        </w:numPr>
        <w:rPr>
          <w:sz w:val="24"/>
          <w:szCs w:val="24"/>
        </w:rPr>
      </w:pPr>
      <w:r w:rsidRPr="001074F3">
        <w:rPr>
          <w:sz w:val="24"/>
          <w:szCs w:val="24"/>
        </w:rPr>
        <w:t>It has sufficient resources in the use of the approach in the major business lines as well as the control and audit areas.</w:t>
      </w:r>
    </w:p>
    <w:p w14:paraId="14FEB2B7" w14:textId="5FE66F94" w:rsidR="0031747F" w:rsidRDefault="0031747F"/>
    <w:p w14:paraId="265372BC" w14:textId="77777777" w:rsidR="00A973E4" w:rsidRDefault="00A973E4"/>
    <w:p w14:paraId="42F5F454" w14:textId="77EA62A2" w:rsidR="0031747F" w:rsidRPr="001074F3" w:rsidRDefault="001074F3">
      <w:pPr>
        <w:rPr>
          <w:sz w:val="24"/>
          <w:szCs w:val="24"/>
        </w:rPr>
      </w:pPr>
      <w:r w:rsidRPr="001074F3">
        <w:rPr>
          <w:sz w:val="24"/>
          <w:szCs w:val="24"/>
        </w:rPr>
        <w:lastRenderedPageBreak/>
        <w:t>The bank’s</w:t>
      </w:r>
      <w:r w:rsidR="00337FA8" w:rsidRPr="001074F3">
        <w:rPr>
          <w:sz w:val="24"/>
          <w:szCs w:val="24"/>
        </w:rPr>
        <w:t xml:space="preserve"> AMA will be subject to a period of initial monitoring by its supervisor before it can be used for regulatory purposes. This period will allow the supervisor to determine whether the approach is credible and appropriate. </w:t>
      </w:r>
      <w:r w:rsidR="0038316D" w:rsidRPr="001074F3">
        <w:rPr>
          <w:sz w:val="24"/>
          <w:szCs w:val="24"/>
        </w:rPr>
        <w:t>B</w:t>
      </w:r>
      <w:r w:rsidR="00337FA8" w:rsidRPr="001074F3">
        <w:rPr>
          <w:sz w:val="24"/>
          <w:szCs w:val="24"/>
        </w:rPr>
        <w:t>ank’s internal measurement system must reasonably estimate unexpected losses based on the combined use of internal and relevant external loss data, scenario analysis and bank-specific business environment and internal control factors. The bank’s measurement system must also be capable of supporting an allocation of economic capital for operational risk across business lines in a manner that creates incentives to improve business line operational risk management</w:t>
      </w:r>
      <w:r w:rsidR="00337FA8" w:rsidRPr="001074F3">
        <w:rPr>
          <w:sz w:val="24"/>
          <w:szCs w:val="24"/>
        </w:rPr>
        <w:t>.</w:t>
      </w:r>
    </w:p>
    <w:p w14:paraId="71439829" w14:textId="45CDDE4B" w:rsidR="0038316D" w:rsidRPr="001074F3" w:rsidRDefault="000D5016">
      <w:pPr>
        <w:rPr>
          <w:sz w:val="24"/>
          <w:szCs w:val="24"/>
        </w:rPr>
      </w:pPr>
      <w:r w:rsidRPr="001074F3">
        <w:rPr>
          <w:sz w:val="24"/>
          <w:szCs w:val="24"/>
        </w:rPr>
        <w:t>Fundamental AMA tools include internal loss data, external loss data, risk scenarios and business environment and internal control factors, which are addressed through risk and control self-assessments and key risk indicators.</w:t>
      </w:r>
    </w:p>
    <w:p w14:paraId="5732122C" w14:textId="0B7C479C" w:rsidR="00594526" w:rsidRPr="001074F3" w:rsidRDefault="00973451">
      <w:pPr>
        <w:rPr>
          <w:sz w:val="24"/>
          <w:szCs w:val="24"/>
        </w:rPr>
      </w:pPr>
      <w:r w:rsidRPr="001074F3">
        <w:rPr>
          <w:sz w:val="24"/>
          <w:szCs w:val="24"/>
        </w:rPr>
        <w:t>Loss data (internal and external), key risk indicators (KRIs), risk and control self-assessment (RCSA) and scenarios are used extensively in the risk identification and management process. However, only</w:t>
      </w:r>
      <w:r>
        <w:t xml:space="preserve"> </w:t>
      </w:r>
      <w:r w:rsidRPr="001074F3">
        <w:rPr>
          <w:sz w:val="24"/>
          <w:szCs w:val="24"/>
        </w:rPr>
        <w:t>risk scenarios and internal loss data are used in the capital calculation and allocation process. For capital purposes, all the other measurement tools are used to inform risk scenarios. External data can also be used as direct input into the capital calculation, but only after extensive development has been done (</w:t>
      </w:r>
      <w:r w:rsidR="001074F3" w:rsidRPr="001074F3">
        <w:rPr>
          <w:sz w:val="24"/>
          <w:szCs w:val="24"/>
        </w:rPr>
        <w:t>e.g.,</w:t>
      </w:r>
      <w:r w:rsidRPr="001074F3">
        <w:rPr>
          <w:sz w:val="24"/>
          <w:szCs w:val="24"/>
        </w:rPr>
        <w:t xml:space="preserve"> on selection, scaling and methodology)</w:t>
      </w:r>
      <w:r w:rsidR="00594526" w:rsidRPr="001074F3">
        <w:rPr>
          <w:sz w:val="24"/>
          <w:szCs w:val="24"/>
        </w:rPr>
        <w:t>.</w:t>
      </w:r>
    </w:p>
    <w:p w14:paraId="47101376" w14:textId="7F64BD07" w:rsidR="00562146" w:rsidRPr="001074F3" w:rsidRDefault="00594526">
      <w:pPr>
        <w:rPr>
          <w:sz w:val="24"/>
          <w:szCs w:val="24"/>
        </w:rPr>
      </w:pPr>
      <w:r w:rsidRPr="001074F3">
        <w:rPr>
          <w:sz w:val="24"/>
          <w:szCs w:val="24"/>
        </w:rPr>
        <w:t xml:space="preserve">While AMA does not specify the use of any particular </w:t>
      </w:r>
      <w:r w:rsidR="001074F3" w:rsidRPr="001074F3">
        <w:rPr>
          <w:sz w:val="24"/>
          <w:szCs w:val="24"/>
        </w:rPr>
        <w:t>modelling</w:t>
      </w:r>
      <w:r w:rsidRPr="001074F3">
        <w:rPr>
          <w:sz w:val="24"/>
          <w:szCs w:val="24"/>
        </w:rPr>
        <w:t xml:space="preserve"> technique, one of the most common approaches taken in the banking industry is the loss distribution approach (LDA). With LDA, a bank first segments operational losses into homogeneous segments, called units of measure (UoMs). For each unit of measure, the bank then constructs a loss distribution that represents its expectation of total </w:t>
      </w:r>
      <w:r w:rsidRPr="001074F3">
        <w:rPr>
          <w:sz w:val="24"/>
          <w:szCs w:val="24"/>
        </w:rPr>
        <w:lastRenderedPageBreak/>
        <w:t>losses that can materialize in a one-year horizon. Given that data sufficiency is a major challenge for the industry, annual loss distribution cannot be built directly using annual loss figures. Instead, a bank will develop a frequency distribution that describes the number of loss events in a given year, and a severity distribution that describes the loss amount of a single loss event. The frequency and severity distributions are assumed to be independent. The convolution of these two distributions then give rise to the (annual) loss distribution.</w:t>
      </w:r>
    </w:p>
    <w:p w14:paraId="6604489F" w14:textId="4D62E09D" w:rsidR="00562146" w:rsidRPr="001074F3" w:rsidRDefault="00562146">
      <w:pPr>
        <w:rPr>
          <w:sz w:val="24"/>
          <w:szCs w:val="24"/>
        </w:rPr>
      </w:pPr>
    </w:p>
    <w:p w14:paraId="64A1387C" w14:textId="77777777" w:rsidR="00BF2194" w:rsidRPr="001074F3" w:rsidRDefault="00BF2194">
      <w:pPr>
        <w:rPr>
          <w:sz w:val="24"/>
          <w:szCs w:val="24"/>
        </w:rPr>
      </w:pPr>
      <w:r w:rsidRPr="001074F3">
        <w:rPr>
          <w:sz w:val="24"/>
          <w:szCs w:val="24"/>
        </w:rPr>
        <w:t xml:space="preserve">Since operational risk management (specifically the AMA) is a very new science, it is easy to underestimate the scope of the project and the amount of effort and expertise required. Extensive subject knowledge and resources are required for the successful implementation of such an advanced risk management system. </w:t>
      </w:r>
    </w:p>
    <w:p w14:paraId="70E363BF" w14:textId="77777777" w:rsidR="00BF2194" w:rsidRPr="001074F3" w:rsidRDefault="00BF2194">
      <w:pPr>
        <w:rPr>
          <w:sz w:val="24"/>
          <w:szCs w:val="24"/>
        </w:rPr>
      </w:pPr>
      <w:r w:rsidRPr="001074F3">
        <w:rPr>
          <w:sz w:val="24"/>
          <w:szCs w:val="24"/>
        </w:rPr>
        <w:t>Therefore, risk managers (in central teams and business units) should have an in-depth understanding of both the business they operate in and risk management. In over 200 business units, we have very diverse quality and skills levels among our human resources, which poses challenges for uniform implementation. To address some of these challenges, it is important to identify potential skills shortages early in order to allow for rectification without delaying implementation.</w:t>
      </w:r>
    </w:p>
    <w:p w14:paraId="1A531AEF" w14:textId="77777777" w:rsidR="00BF2194" w:rsidRDefault="00BF2194">
      <w:pPr>
        <w:rPr>
          <w:sz w:val="24"/>
          <w:szCs w:val="24"/>
        </w:rPr>
      </w:pPr>
      <w:r w:rsidRPr="001074F3">
        <w:rPr>
          <w:sz w:val="24"/>
          <w:szCs w:val="24"/>
        </w:rPr>
        <w:t xml:space="preserve"> Strategic planning of a project of this size and complexity is extremely important. In the initial planning process, special attention must be given to estimating workloads, setting priorities, anticipating methodologies, implementing solutions and foreseeing the impact on business units.</w:t>
      </w:r>
    </w:p>
    <w:p w14:paraId="2BDB2EA1" w14:textId="77777777" w:rsidR="00352739" w:rsidRDefault="00352739">
      <w:pPr>
        <w:rPr>
          <w:sz w:val="24"/>
          <w:szCs w:val="24"/>
        </w:rPr>
      </w:pPr>
    </w:p>
    <w:p w14:paraId="25FF204D" w14:textId="4BDB0BAF" w:rsidR="00352739" w:rsidRPr="001074F3" w:rsidRDefault="00352739">
      <w:pPr>
        <w:rPr>
          <w:sz w:val="24"/>
          <w:szCs w:val="24"/>
        </w:rPr>
        <w:sectPr w:rsidR="00352739" w:rsidRPr="001074F3" w:rsidSect="002A3037">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sz w:val="24"/>
          <w:szCs w:val="24"/>
        </w:rPr>
        <w:t>------------------------------------------------------xxx----------------------------------------------------------------</w:t>
      </w:r>
    </w:p>
    <w:p w14:paraId="4786F2E1" w14:textId="77777777" w:rsidR="00BF2194" w:rsidRDefault="00BF2194">
      <w:pPr>
        <w:rPr>
          <w:b/>
          <w:u w:val="single"/>
        </w:rPr>
        <w:sectPr w:rsidR="00BF2194" w:rsidSect="00FB6277">
          <w:pgSz w:w="11906" w:h="16838"/>
          <w:pgMar w:top="0" w:right="0" w:bottom="0" w:left="0" w:header="709" w:footer="709" w:gutter="0"/>
          <w:cols w:space="708"/>
          <w:docGrid w:linePitch="360"/>
        </w:sectPr>
      </w:pPr>
      <w:r>
        <w:rPr>
          <w:b/>
          <w:noProof/>
          <w:u w:val="single"/>
        </w:rPr>
        <w:drawing>
          <wp:inline distT="0" distB="0" distL="0" distR="0" wp14:anchorId="512B0459" wp14:editId="14483E20">
            <wp:extent cx="7654925" cy="10696353"/>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7667105" cy="10713372"/>
                    </a:xfrm>
                    <a:prstGeom prst="rect">
                      <a:avLst/>
                    </a:prstGeom>
                  </pic:spPr>
                </pic:pic>
              </a:graphicData>
            </a:graphic>
          </wp:inline>
        </w:drawing>
      </w:r>
    </w:p>
    <w:p w14:paraId="4831CC52" w14:textId="77777777" w:rsidR="00B2752C" w:rsidRDefault="00B2752C">
      <w:pPr>
        <w:rPr>
          <w:b/>
          <w:u w:val="single"/>
        </w:rPr>
      </w:pPr>
    </w:p>
    <w:p w14:paraId="537738A5" w14:textId="77777777" w:rsidR="00B2752C" w:rsidRDefault="00B2752C">
      <w:pPr>
        <w:rPr>
          <w:b/>
          <w:u w:val="single"/>
        </w:rPr>
      </w:pPr>
    </w:p>
    <w:p w14:paraId="654FD39B" w14:textId="282FF92F" w:rsidR="00562146" w:rsidRPr="004D2E91" w:rsidRDefault="00562146" w:rsidP="004D2E91">
      <w:pPr>
        <w:jc w:val="center"/>
        <w:rPr>
          <w:b/>
          <w:sz w:val="36"/>
          <w:szCs w:val="36"/>
          <w:u w:val="single"/>
        </w:rPr>
      </w:pPr>
      <w:r w:rsidRPr="004D2E91">
        <w:rPr>
          <w:b/>
          <w:sz w:val="36"/>
          <w:szCs w:val="36"/>
          <w:u w:val="single"/>
        </w:rPr>
        <w:t>Benefits of the advanced measurement approach</w:t>
      </w:r>
    </w:p>
    <w:p w14:paraId="3036FA08" w14:textId="77777777" w:rsidR="007E4725" w:rsidRPr="004D2E91" w:rsidRDefault="007E4725">
      <w:pPr>
        <w:rPr>
          <w:sz w:val="24"/>
          <w:szCs w:val="24"/>
        </w:rPr>
      </w:pPr>
      <w:r w:rsidRPr="004D2E91">
        <w:rPr>
          <w:sz w:val="24"/>
          <w:szCs w:val="24"/>
        </w:rPr>
        <w:t xml:space="preserve">One of the most visible effects of implementing an advanced approach for operational risk management is the positive impact on reputation and perception by stakeholders. More sophisticated and advanced risk management certainly sends a clear message of solid and sound risk management to shareholders, clients, rating agencies and the market. This reassurance is extremely important and gives comfort to stakeholders, especially in times of economic turbulence and uncertainty. </w:t>
      </w:r>
    </w:p>
    <w:p w14:paraId="7CFBD4BA" w14:textId="77777777" w:rsidR="007E4725" w:rsidRPr="004D2E91" w:rsidRDefault="007E4725">
      <w:pPr>
        <w:rPr>
          <w:sz w:val="24"/>
          <w:szCs w:val="24"/>
        </w:rPr>
      </w:pPr>
      <w:r w:rsidRPr="004D2E91">
        <w:rPr>
          <w:sz w:val="24"/>
          <w:szCs w:val="24"/>
        </w:rPr>
        <w:t>The use of internal models to calculate capital requirements under the AMA may also lead to a reduction in regulatory and economic capital. Capital is based on risk exposures and not on income levels as is the case for the more basic approaches.</w:t>
      </w:r>
    </w:p>
    <w:p w14:paraId="43AB710E" w14:textId="77777777" w:rsidR="007E4725" w:rsidRPr="004D2E91" w:rsidRDefault="007E4725">
      <w:pPr>
        <w:rPr>
          <w:sz w:val="24"/>
          <w:szCs w:val="24"/>
        </w:rPr>
      </w:pPr>
      <w:r w:rsidRPr="004D2E91">
        <w:rPr>
          <w:sz w:val="24"/>
          <w:szCs w:val="24"/>
        </w:rPr>
        <w:t xml:space="preserve"> The most significant benefit, however, is that implementation of the AMA leads to improved risk management processes and more sophisticated risk measurement mechanisms. In many cases advanced risk measurement techniques (such as risk scenarios and the use of external data) were put in place earlier than originally anticipated to facilitate the successful implementation of an AMA system. Better-quality risk management ultimately protects the bank’s value and the interests of stakeholders. </w:t>
      </w:r>
    </w:p>
    <w:p w14:paraId="0E684AA5" w14:textId="77777777" w:rsidR="00B2752C" w:rsidRPr="004D2E91" w:rsidRDefault="007E4725">
      <w:pPr>
        <w:rPr>
          <w:sz w:val="24"/>
          <w:szCs w:val="24"/>
        </w:rPr>
      </w:pPr>
      <w:r w:rsidRPr="004D2E91">
        <w:rPr>
          <w:sz w:val="24"/>
          <w:szCs w:val="24"/>
        </w:rPr>
        <w:t>The AMA implementation has also resulted in improved relationships between deployed risk managers and centralised (Group function) risk specialists. Deployed risk managers had to take on extensive responsibility for the implementation of all operational risk measurement and management components in their business units. Guidance, frameworks and policies for these implementations were developed by centralised risk specialists, and therefore close cooperation between Group functions and business risk managers was required.</w:t>
      </w:r>
    </w:p>
    <w:p w14:paraId="0D476C70" w14:textId="77777777" w:rsidR="00B2752C" w:rsidRDefault="00B2752C">
      <w:pPr>
        <w:rPr>
          <w:rFonts w:ascii="Arial" w:hAnsi="Arial" w:cs="Arial"/>
          <w:b/>
          <w:color w:val="202122"/>
          <w:sz w:val="21"/>
          <w:szCs w:val="21"/>
          <w:u w:val="single"/>
          <w:shd w:val="clear" w:color="auto" w:fill="FFFFFF"/>
        </w:rPr>
      </w:pPr>
    </w:p>
    <w:p w14:paraId="76672ECC" w14:textId="0C78451E" w:rsidR="00594526" w:rsidRDefault="00257E28" w:rsidP="004D2E91">
      <w:pPr>
        <w:jc w:val="center"/>
        <w:rPr>
          <w:rFonts w:ascii="Arial" w:hAnsi="Arial" w:cs="Arial"/>
          <w:b/>
          <w:bCs/>
          <w:color w:val="202122"/>
          <w:sz w:val="36"/>
          <w:szCs w:val="36"/>
          <w:u w:val="single"/>
          <w:shd w:val="clear" w:color="auto" w:fill="FFFFFF"/>
        </w:rPr>
      </w:pPr>
      <w:r w:rsidRPr="004D2E91">
        <w:rPr>
          <w:rFonts w:ascii="Arial" w:hAnsi="Arial" w:cs="Arial"/>
          <w:b/>
          <w:bCs/>
          <w:color w:val="202122"/>
          <w:sz w:val="36"/>
          <w:szCs w:val="36"/>
          <w:u w:val="single"/>
          <w:shd w:val="clear" w:color="auto" w:fill="FFFFFF"/>
        </w:rPr>
        <w:t>Drawbacks of Using the AMA approach</w:t>
      </w:r>
    </w:p>
    <w:p w14:paraId="7D00441F" w14:textId="77777777" w:rsidR="004D2E91" w:rsidRPr="004D2E91" w:rsidRDefault="004D2E91" w:rsidP="004D2E91">
      <w:pPr>
        <w:jc w:val="center"/>
        <w:rPr>
          <w:rFonts w:ascii="Arial" w:hAnsi="Arial" w:cs="Arial"/>
          <w:b/>
          <w:color w:val="202122"/>
          <w:sz w:val="36"/>
          <w:szCs w:val="36"/>
          <w:u w:val="single"/>
          <w:shd w:val="clear" w:color="auto" w:fill="FFFFFF"/>
        </w:rPr>
      </w:pPr>
    </w:p>
    <w:p w14:paraId="326AC505" w14:textId="2C1376F5" w:rsidR="00257E28" w:rsidRPr="004D2E91" w:rsidRDefault="00257E28" w:rsidP="004D2E91">
      <w:pPr>
        <w:pStyle w:val="ListParagraph"/>
        <w:numPr>
          <w:ilvl w:val="0"/>
          <w:numId w:val="2"/>
        </w:numPr>
        <w:rPr>
          <w:b/>
          <w:bCs/>
          <w:sz w:val="32"/>
          <w:szCs w:val="32"/>
        </w:rPr>
      </w:pPr>
      <w:r w:rsidRPr="004D2E91">
        <w:rPr>
          <w:b/>
          <w:bCs/>
          <w:sz w:val="32"/>
          <w:szCs w:val="32"/>
        </w:rPr>
        <w:t>Difficulties in Risk Modelling</w:t>
      </w:r>
    </w:p>
    <w:p w14:paraId="166FEF03" w14:textId="20AA3B71" w:rsidR="00257E28" w:rsidRPr="004D2E91" w:rsidRDefault="00257E28" w:rsidP="004D2E91">
      <w:pPr>
        <w:rPr>
          <w:sz w:val="24"/>
          <w:szCs w:val="24"/>
        </w:rPr>
      </w:pPr>
      <w:r w:rsidRPr="004D2E91">
        <w:rPr>
          <w:sz w:val="24"/>
          <w:szCs w:val="24"/>
        </w:rPr>
        <w:t xml:space="preserve">The most obvious issue is that both credit risk and market risk exhibit similar properties. They are both characterised by the concept of ‘risk exposure’ and both are subject to industry-wide standards for assessing and rating the probability of a loss </w:t>
      </w:r>
      <w:r w:rsidR="001074F3" w:rsidRPr="004D2E91">
        <w:rPr>
          <w:sz w:val="24"/>
          <w:szCs w:val="24"/>
        </w:rPr>
        <w:t>event. Operational</w:t>
      </w:r>
      <w:r w:rsidRPr="004D2E91">
        <w:rPr>
          <w:sz w:val="24"/>
          <w:szCs w:val="24"/>
        </w:rPr>
        <w:t xml:space="preserve"> risk does not exhibit these properties, largely because there is no systematic, consistent, industry-standard method for collecting and collating the data. </w:t>
      </w:r>
      <w:r w:rsidRPr="004D2E91">
        <w:rPr>
          <w:sz w:val="24"/>
          <w:szCs w:val="24"/>
        </w:rPr>
        <w:t xml:space="preserve">It </w:t>
      </w:r>
      <w:r w:rsidRPr="004D2E91">
        <w:rPr>
          <w:sz w:val="24"/>
          <w:szCs w:val="24"/>
        </w:rPr>
        <w:t>provides an initial framework under which to collate the data, but it remains a fact that the available data is sparse and is largely randomly anecdotal.</w:t>
      </w:r>
    </w:p>
    <w:p w14:paraId="7BE5BAE7" w14:textId="77777777" w:rsidR="005A30B1" w:rsidRDefault="00257E28" w:rsidP="005A30B1">
      <w:pPr>
        <w:pStyle w:val="NormalWeb"/>
        <w:shd w:val="clear" w:color="auto" w:fill="FFFFFF"/>
        <w:spacing w:before="0" w:beforeAutospacing="0" w:after="375" w:afterAutospacing="0" w:line="450" w:lineRule="atLeast"/>
        <w:rPr>
          <w:rFonts w:ascii="Roboto" w:hAnsi="Roboto"/>
          <w:color w:val="262626"/>
          <w:sz w:val="27"/>
          <w:szCs w:val="27"/>
        </w:rPr>
      </w:pPr>
      <w:r w:rsidRPr="004D2E91">
        <w:rPr>
          <w:rFonts w:asciiTheme="minorHAnsi" w:eastAsiaTheme="minorHAnsi" w:hAnsiTheme="minorHAnsi" w:cstheme="minorBidi"/>
          <w:lang w:eastAsia="en-US"/>
        </w:rPr>
        <w:lastRenderedPageBreak/>
        <w:t>Risk modellers wishing to fit loss data distributions to the data therefore face a challenge because there is little consistent data with which to work, there is no agreed definition of what ‘risk exposure’ means, and there are no standards for assessing the probabilities of loss events</w:t>
      </w:r>
      <w:r>
        <w:rPr>
          <w:rFonts w:ascii="Roboto" w:hAnsi="Roboto"/>
          <w:color w:val="262626"/>
          <w:sz w:val="27"/>
          <w:szCs w:val="27"/>
        </w:rPr>
        <w:t>.</w:t>
      </w:r>
    </w:p>
    <w:p w14:paraId="104F1E8C" w14:textId="45C617B0" w:rsidR="005A30B1" w:rsidRPr="005A30B1" w:rsidRDefault="005A30B1" w:rsidP="004D2E91">
      <w:pPr>
        <w:pStyle w:val="ListParagraph"/>
        <w:numPr>
          <w:ilvl w:val="0"/>
          <w:numId w:val="2"/>
        </w:numPr>
        <w:rPr>
          <w:b/>
          <w:bCs/>
          <w:sz w:val="32"/>
          <w:szCs w:val="32"/>
        </w:rPr>
      </w:pPr>
      <w:r w:rsidRPr="005A30B1">
        <w:rPr>
          <w:b/>
          <w:bCs/>
          <w:sz w:val="32"/>
          <w:szCs w:val="32"/>
        </w:rPr>
        <w:t>Data Collection Issues</w:t>
      </w:r>
    </w:p>
    <w:p w14:paraId="4653965C" w14:textId="33F32D7A" w:rsidR="005A30B1" w:rsidRPr="005A30B1" w:rsidRDefault="005A30B1" w:rsidP="004D2E91">
      <w:pPr>
        <w:rPr>
          <w:sz w:val="24"/>
          <w:szCs w:val="24"/>
        </w:rPr>
      </w:pPr>
      <w:r w:rsidRPr="005A30B1">
        <w:rPr>
          <w:sz w:val="24"/>
          <w:szCs w:val="24"/>
        </w:rPr>
        <w:t xml:space="preserve">In the case of market risk and credit risk, all the data is explicitly available in electronic form. This data can be collected, collated and analysed through automated systems, which means that historical records of loss data are complete, consistent and homogeneous. With regard to operational risk the situation could not be more different. Each loss event is the result of a complex interaction between many potential causal factors, and a significant loss event can usually be analysed retrospectively into the ‘unlucky’ alignment of many minor factors, each of which at an individual level would be considered to be insignificant. </w:t>
      </w:r>
    </w:p>
    <w:p w14:paraId="3D8EAD72" w14:textId="5D4B6384" w:rsidR="005A30B1" w:rsidRPr="005A30B1" w:rsidRDefault="005A30B1" w:rsidP="004D2E91">
      <w:pPr>
        <w:rPr>
          <w:sz w:val="24"/>
          <w:szCs w:val="24"/>
        </w:rPr>
      </w:pPr>
      <w:r w:rsidRPr="005A30B1">
        <w:rPr>
          <w:sz w:val="24"/>
          <w:szCs w:val="24"/>
        </w:rPr>
        <w:t>We can learn important lessons from past experience, but we cannot generalise the techniques to predict future complex loss event types not yet experienced. The unexpected losses in the tail of the loss distribution are all likely to be of this complex type. In effect, we are denied access to the potential portfolio of operational risks that exist because they are not explicitly known and cannot realistically be identified or predicte</w:t>
      </w:r>
      <w:r w:rsidR="00591DD8" w:rsidRPr="004D2E91">
        <w:rPr>
          <w:sz w:val="24"/>
          <w:szCs w:val="24"/>
        </w:rPr>
        <w:t>d.</w:t>
      </w:r>
    </w:p>
    <w:p w14:paraId="527CAC4D" w14:textId="55D34416" w:rsidR="004C1CEA" w:rsidRPr="004D2E91" w:rsidRDefault="005A30B1" w:rsidP="004D2E91">
      <w:pPr>
        <w:rPr>
          <w:sz w:val="24"/>
          <w:szCs w:val="24"/>
        </w:rPr>
      </w:pPr>
      <w:r w:rsidRPr="005A30B1">
        <w:rPr>
          <w:sz w:val="24"/>
          <w:szCs w:val="24"/>
        </w:rPr>
        <w:t>The data collection process is also subject to the negative effects of a traditional risk culture in banking institutions in which employees have been encouraged to hide errors, poor decisions and criminal activities rather than report the</w:t>
      </w:r>
      <w:r w:rsidR="00591DD8" w:rsidRPr="004D2E91">
        <w:rPr>
          <w:sz w:val="24"/>
          <w:szCs w:val="24"/>
        </w:rPr>
        <w:t>m.</w:t>
      </w:r>
      <w:r w:rsidRPr="005A30B1">
        <w:rPr>
          <w:sz w:val="24"/>
          <w:szCs w:val="24"/>
        </w:rPr>
        <w:t xml:space="preserve"> Finally, there is another major hindrance in that banks usually truncate the data collection at around €10,00</w:t>
      </w:r>
      <w:r w:rsidR="00591DD8" w:rsidRPr="004D2E91">
        <w:rPr>
          <w:sz w:val="24"/>
          <w:szCs w:val="24"/>
        </w:rPr>
        <w:t>0.</w:t>
      </w:r>
      <w:r w:rsidRPr="005A30B1">
        <w:rPr>
          <w:sz w:val="24"/>
          <w:szCs w:val="24"/>
        </w:rPr>
        <w:t xml:space="preserve"> Events with losses below this value are discarded because their high volume and relative insignificance in financial terms make them very expensive to collect, relative to the loss values. While this means that only ‘significant events’ are recorded, there is a huge hole in the data for the underlying causal effects that are characteristic contributors to these major losses. </w:t>
      </w:r>
      <w:r w:rsidR="001074F3" w:rsidRPr="005A30B1">
        <w:rPr>
          <w:sz w:val="24"/>
          <w:szCs w:val="24"/>
        </w:rPr>
        <w:t>Thus,</w:t>
      </w:r>
      <w:r w:rsidRPr="005A30B1">
        <w:rPr>
          <w:sz w:val="24"/>
          <w:szCs w:val="24"/>
        </w:rPr>
        <w:t xml:space="preserve"> any loss data distributions developed are based on incomplete data that is biased in an unknown way.</w:t>
      </w:r>
    </w:p>
    <w:p w14:paraId="6E8B6F56" w14:textId="10562403" w:rsidR="00591DD8" w:rsidRPr="004D2E91" w:rsidRDefault="00591DD8" w:rsidP="004D2E91">
      <w:pPr>
        <w:pStyle w:val="ListParagraph"/>
        <w:numPr>
          <w:ilvl w:val="0"/>
          <w:numId w:val="2"/>
        </w:numPr>
        <w:rPr>
          <w:b/>
          <w:bCs/>
          <w:sz w:val="32"/>
          <w:szCs w:val="32"/>
        </w:rPr>
      </w:pPr>
      <w:r w:rsidRPr="004D2E91">
        <w:rPr>
          <w:b/>
          <w:bCs/>
          <w:sz w:val="32"/>
          <w:szCs w:val="32"/>
        </w:rPr>
        <w:t>Homogeneity of Loss Data</w:t>
      </w:r>
    </w:p>
    <w:p w14:paraId="763B2D73" w14:textId="0CD0DC63" w:rsidR="00591DD8" w:rsidRPr="004D2E91" w:rsidRDefault="00591DD8" w:rsidP="004D2E91">
      <w:pPr>
        <w:rPr>
          <w:sz w:val="24"/>
          <w:szCs w:val="24"/>
        </w:rPr>
      </w:pPr>
      <w:r w:rsidRPr="004D2E91">
        <w:rPr>
          <w:sz w:val="24"/>
          <w:szCs w:val="24"/>
        </w:rPr>
        <w:t xml:space="preserve">Another issue is that of homogeneity of the loss data. Despite the standardisation </w:t>
      </w:r>
      <w:r w:rsidRPr="004D2E91">
        <w:rPr>
          <w:sz w:val="24"/>
          <w:szCs w:val="24"/>
        </w:rPr>
        <w:t>t</w:t>
      </w:r>
      <w:r w:rsidRPr="004D2E91">
        <w:rPr>
          <w:sz w:val="24"/>
          <w:szCs w:val="24"/>
        </w:rPr>
        <w:t>here is no attempt within that framework to identify the causes of the loss events. In order to fit a loss distribution to given data it is essential that the data elements are all from the same homogeneous distribution, and this leads to the need to define homogeneous cells at an appropriate level in the hierarchy of the business line/event type matri</w:t>
      </w:r>
      <w:r w:rsidRPr="004D2E91">
        <w:rPr>
          <w:sz w:val="24"/>
          <w:szCs w:val="24"/>
        </w:rPr>
        <w:t>x.</w:t>
      </w:r>
    </w:p>
    <w:p w14:paraId="20A20106" w14:textId="7710DE54" w:rsidR="00562146" w:rsidRDefault="00591DD8" w:rsidP="004D2E91">
      <w:pPr>
        <w:rPr>
          <w:rFonts w:ascii="Roboto" w:hAnsi="Roboto"/>
          <w:color w:val="262626"/>
          <w:sz w:val="27"/>
          <w:szCs w:val="27"/>
        </w:rPr>
      </w:pPr>
      <w:r w:rsidRPr="004D2E91">
        <w:rPr>
          <w:sz w:val="24"/>
          <w:szCs w:val="24"/>
        </w:rPr>
        <w:t>Part of the problem is the context dependency of operational risk. The size of the loss and probability of the event differ considerably according to the circumstances surrounding the event. It is a fact that the business context, the nature of the operational infrastructure and the threat scenarios change over time, in some cases quite quickly, and so historical data collected in one context may not be applicable in the current context. This brings into question the relevance of historical loss data. Even within the one-year time period specified in Basel II within which the accumulated losses must be covered by capital allocation, the context of those losses can change dramatically, which means that the size of potential losses and the probability of them occurring is a continuously moving target</w:t>
      </w:r>
      <w:r>
        <w:rPr>
          <w:rFonts w:ascii="Roboto" w:hAnsi="Roboto"/>
          <w:color w:val="262626"/>
          <w:sz w:val="27"/>
          <w:szCs w:val="27"/>
        </w:rPr>
        <w:t xml:space="preserve">. </w:t>
      </w:r>
    </w:p>
    <w:p w14:paraId="6BDD7706" w14:textId="33F3C829" w:rsidR="00562146" w:rsidRPr="004D2E91" w:rsidRDefault="00562146" w:rsidP="004D2E91">
      <w:pPr>
        <w:pStyle w:val="ListParagraph"/>
        <w:numPr>
          <w:ilvl w:val="0"/>
          <w:numId w:val="2"/>
        </w:numPr>
        <w:rPr>
          <w:b/>
          <w:bCs/>
          <w:sz w:val="32"/>
          <w:szCs w:val="32"/>
        </w:rPr>
      </w:pPr>
      <w:r w:rsidRPr="004D2E91">
        <w:rPr>
          <w:b/>
          <w:bCs/>
          <w:sz w:val="32"/>
          <w:szCs w:val="32"/>
        </w:rPr>
        <w:t>Hidden Operational Risks</w:t>
      </w:r>
    </w:p>
    <w:p w14:paraId="2A2C0223" w14:textId="1E77CF17" w:rsidR="00562146" w:rsidRPr="004D2E91" w:rsidRDefault="00562146" w:rsidP="004D2E91">
      <w:pPr>
        <w:rPr>
          <w:sz w:val="24"/>
          <w:szCs w:val="24"/>
        </w:rPr>
      </w:pPr>
      <w:r w:rsidRPr="004D2E91">
        <w:rPr>
          <w:sz w:val="24"/>
          <w:szCs w:val="24"/>
        </w:rPr>
        <w:t xml:space="preserve">Operational risks are by definition embedded in the operational processes, although their causes may be external or may be related to the failure of the resources that support the execution of business processes, such as people and systems. </w:t>
      </w:r>
      <w:r w:rsidR="001074F3" w:rsidRPr="004D2E91">
        <w:rPr>
          <w:sz w:val="24"/>
          <w:szCs w:val="24"/>
        </w:rPr>
        <w:t>Thus,</w:t>
      </w:r>
      <w:r w:rsidRPr="004D2E91">
        <w:rPr>
          <w:sz w:val="24"/>
          <w:szCs w:val="24"/>
        </w:rPr>
        <w:t xml:space="preserve"> there are at least two major obvious sources of hidden operational risk: unforeseen external events (of a type not previously experienced or known); and events that are embedded in the supporting process resources in such a way as to be difficult to identify and monitor. The first category will always be problematic, unless the art of clairvoyance takes some major leaps forward, but the second category is more within our potential control. Perhaps the most stark example of this second group are those risks that are embedded in the documentation that supports business processes, and among those document types, contracts must be one of the areas for greatest concer</w:t>
      </w:r>
      <w:r w:rsidRPr="004D2E91">
        <w:rPr>
          <w:sz w:val="24"/>
          <w:szCs w:val="24"/>
        </w:rPr>
        <w:t>n.</w:t>
      </w:r>
    </w:p>
    <w:p w14:paraId="685F7176" w14:textId="77777777" w:rsidR="00562146" w:rsidRDefault="00562146" w:rsidP="00591DD8">
      <w:pPr>
        <w:pStyle w:val="NormalWeb"/>
        <w:shd w:val="clear" w:color="auto" w:fill="FFFFFF"/>
        <w:spacing w:before="0" w:beforeAutospacing="0" w:after="375" w:afterAutospacing="0" w:line="450" w:lineRule="atLeast"/>
        <w:rPr>
          <w:rFonts w:ascii="Roboto" w:hAnsi="Roboto"/>
          <w:color w:val="262626"/>
          <w:sz w:val="27"/>
          <w:szCs w:val="27"/>
        </w:rPr>
      </w:pPr>
    </w:p>
    <w:p w14:paraId="4302F65A" w14:textId="77777777" w:rsidR="00591DD8" w:rsidRPr="005A30B1" w:rsidRDefault="00591DD8" w:rsidP="005A30B1">
      <w:pPr>
        <w:shd w:val="clear" w:color="auto" w:fill="FFFFFF"/>
        <w:spacing w:after="375" w:line="450" w:lineRule="atLeast"/>
        <w:rPr>
          <w:rFonts w:ascii="Roboto" w:eastAsia="Times New Roman" w:hAnsi="Roboto" w:cs="Times New Roman"/>
          <w:color w:val="262626"/>
          <w:sz w:val="27"/>
          <w:szCs w:val="27"/>
          <w:lang w:eastAsia="en-IN"/>
        </w:rPr>
      </w:pPr>
    </w:p>
    <w:p w14:paraId="11FA7253" w14:textId="64344441" w:rsidR="00B2752C" w:rsidRDefault="004D2E91">
      <w:pPr>
        <w:sectPr w:rsidR="00B2752C" w:rsidSect="002A3037">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t>------------------------------------------------------------XXXX------------------------------------------------------------</w:t>
      </w:r>
      <w:r>
        <w:t>-------</w:t>
      </w:r>
    </w:p>
    <w:p w14:paraId="5000998B" w14:textId="77777777" w:rsidR="00B2752C" w:rsidRDefault="00B2752C">
      <w:pPr>
        <w:sectPr w:rsidR="00B2752C" w:rsidSect="00FB6277">
          <w:pgSz w:w="11906" w:h="16838"/>
          <w:pgMar w:top="0" w:right="0" w:bottom="0" w:left="0" w:header="709" w:footer="709" w:gutter="0"/>
          <w:cols w:space="708"/>
          <w:docGrid w:linePitch="360"/>
        </w:sectPr>
      </w:pPr>
      <w:r>
        <w:rPr>
          <w:noProof/>
        </w:rPr>
        <w:drawing>
          <wp:inline distT="0" distB="0" distL="0" distR="0" wp14:anchorId="63BEE0C0" wp14:editId="14302E27">
            <wp:extent cx="7586345" cy="106740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7608053" cy="10704580"/>
                    </a:xfrm>
                    <a:prstGeom prst="rect">
                      <a:avLst/>
                    </a:prstGeom>
                  </pic:spPr>
                </pic:pic>
              </a:graphicData>
            </a:graphic>
          </wp:inline>
        </w:drawing>
      </w:r>
    </w:p>
    <w:p w14:paraId="056E574E" w14:textId="7F8C38BA" w:rsidR="00C5265D" w:rsidRPr="00105563" w:rsidRDefault="00C5265D" w:rsidP="00044A4D">
      <w:pPr>
        <w:pStyle w:val="ListParagraph"/>
        <w:numPr>
          <w:ilvl w:val="0"/>
          <w:numId w:val="2"/>
        </w:numPr>
        <w:rPr>
          <w:b/>
          <w:bCs/>
          <w:sz w:val="32"/>
          <w:szCs w:val="32"/>
        </w:rPr>
      </w:pPr>
      <w:r w:rsidRPr="00105563">
        <w:rPr>
          <w:b/>
          <w:bCs/>
          <w:sz w:val="32"/>
          <w:szCs w:val="32"/>
        </w:rPr>
        <w:t xml:space="preserve">Data and extreme value theory analysis </w:t>
      </w:r>
    </w:p>
    <w:p w14:paraId="4055F863" w14:textId="56A8A39C" w:rsidR="00B2752C" w:rsidRPr="004D2E91" w:rsidRDefault="00C5265D">
      <w:pPr>
        <w:rPr>
          <w:sz w:val="24"/>
          <w:szCs w:val="24"/>
        </w:rPr>
      </w:pPr>
      <w:r w:rsidRPr="004D2E91">
        <w:rPr>
          <w:sz w:val="24"/>
          <w:szCs w:val="24"/>
        </w:rPr>
        <w:t xml:space="preserve">Internal loss data exploration and analysis are an essential step in the overall modelling process and need to be performed before analytical modelling of available internal loss data can be performed. Tabular and graphical data analysis provides the modeller with an indication of data completeness, spread, classification, patterns, breaks and possible compatibility with certain analytical model families. Typical tools that are utilised are summary tables, regulatory data matrices, multidimensional histograms and empirical distribution representations. More formalised statistical tests are used to determine which family of distributions may be a possible fit for the data over various logical segments (specific reference is made here to light-tailed and fat-tailed theoretical distributions). These tests also help to determine the most appropriate truncation points and thresholds for modelling data in a single cell. Some of the graphical plots that are used to determine the applicability of using extreme value theory (and light-tailed vs heavy-tailed distributions in general) are mean excess plots, Hill estimator plots, HKKP-Hill plots, DEdH plots, tail plots and stability parameter plots. The basic data and extreme value theory analysis also assists in determining the point at which risk scenarios should be incorporated into the models. This is typically done at a point where observations are very scarce and business areas are exposed to high severity events. </w:t>
      </w:r>
    </w:p>
    <w:p w14:paraId="11B83370" w14:textId="6299FDD7" w:rsidR="00B2752C" w:rsidRDefault="00B2752C"/>
    <w:p w14:paraId="671EE573" w14:textId="77777777" w:rsidR="00C5265D" w:rsidRPr="00105563" w:rsidRDefault="00C5265D" w:rsidP="00044A4D">
      <w:pPr>
        <w:pStyle w:val="ListParagraph"/>
        <w:numPr>
          <w:ilvl w:val="0"/>
          <w:numId w:val="2"/>
        </w:numPr>
        <w:rPr>
          <w:b/>
          <w:bCs/>
          <w:sz w:val="32"/>
          <w:szCs w:val="32"/>
        </w:rPr>
      </w:pPr>
      <w:r w:rsidRPr="00105563">
        <w:rPr>
          <w:b/>
          <w:bCs/>
          <w:sz w:val="32"/>
          <w:szCs w:val="32"/>
        </w:rPr>
        <w:t>Modelling of internal loss data</w:t>
      </w:r>
    </w:p>
    <w:p w14:paraId="48AC1D1D" w14:textId="56EFB41F" w:rsidR="00B2752C" w:rsidRPr="004D2E91" w:rsidRDefault="00C5265D">
      <w:pPr>
        <w:rPr>
          <w:sz w:val="24"/>
          <w:szCs w:val="24"/>
        </w:rPr>
      </w:pPr>
      <w:r w:rsidRPr="004D2E91">
        <w:rPr>
          <w:sz w:val="24"/>
          <w:szCs w:val="24"/>
        </w:rPr>
        <w:t xml:space="preserve"> In segments where light-tailed behaviour is observed, the beta, chi-square, exponential, gamma, inverse Gaussian, log normal, normal, Weibull and Rayleigh distributions are usually considered for severity modelling. In segments where heavy-tailed behaviour is observed, the Burr, Cauchy, F-, generalised Pareto, generalised extreme value, log gamma, log logistic, Pareto and Student’s t-distributions are tested for severity modelling. Any of five methods of distribution fitting can be used, and in many cases more than one method is applied for a specific distribution, since they may yield different results. The methods used include the maximum likelihood estimation, least squares method, probability</w:t>
      </w:r>
      <w:r w:rsidR="002135EC" w:rsidRPr="004D2E91">
        <w:rPr>
          <w:sz w:val="24"/>
          <w:szCs w:val="24"/>
        </w:rPr>
        <w:t xml:space="preserve"> </w:t>
      </w:r>
      <w:r w:rsidRPr="004D2E91">
        <w:rPr>
          <w:sz w:val="24"/>
          <w:szCs w:val="24"/>
        </w:rPr>
        <w:t>weighted least squares method, robust least squares method and the method of moments (for frequency models only).</w:t>
      </w:r>
    </w:p>
    <w:p w14:paraId="522D6154" w14:textId="54F29B9E" w:rsidR="005114BC" w:rsidRPr="004D2E91" w:rsidRDefault="00C5265D" w:rsidP="005114BC">
      <w:pPr>
        <w:rPr>
          <w:sz w:val="24"/>
          <w:szCs w:val="24"/>
        </w:rPr>
      </w:pPr>
      <w:r w:rsidRPr="004D2E91">
        <w:rPr>
          <w:sz w:val="24"/>
          <w:szCs w:val="24"/>
        </w:rPr>
        <w:t>Once a series of fits have been performed, various non-graphical goodness of fit (GOF) measures are used to evaluate the accuracy and appropriateness of each fit. The most commonly used tests are Kolmogorov-Smirnov, Cramer von Mises, Anderson-Darling, analysis of fit differences, evaluation PP, evaluation QQ, chi-square tests and mean square error estimates. A number of graphical representations are also used to supplement the GOF measures. These include probability-differences plots, probability-probability (PP) plots and quantile</w:t>
      </w:r>
      <w:r w:rsidR="007B5998" w:rsidRPr="004D2E91">
        <w:rPr>
          <w:sz w:val="24"/>
          <w:szCs w:val="24"/>
        </w:rPr>
        <w:t>-</w:t>
      </w:r>
      <w:r w:rsidRPr="004D2E91">
        <w:rPr>
          <w:sz w:val="24"/>
          <w:szCs w:val="24"/>
        </w:rPr>
        <w:t xml:space="preserve">quantile (QQ) plots. For QQ plots, linear scale QQ plots, logarithmic scale QQ plots, relative error plots (for specific quantiles) and absolute error plots (for specific quantiles) are evaluated. </w:t>
      </w:r>
    </w:p>
    <w:p w14:paraId="20277628" w14:textId="77777777" w:rsidR="004D2E91" w:rsidRDefault="004D2E91" w:rsidP="004D2E91">
      <w:pPr>
        <w:pStyle w:val="ListParagraph"/>
        <w:rPr>
          <w:b/>
          <w:bCs/>
          <w:sz w:val="32"/>
          <w:szCs w:val="32"/>
        </w:rPr>
      </w:pPr>
    </w:p>
    <w:p w14:paraId="5CEAEBB0" w14:textId="0E424A42" w:rsidR="00E857E6" w:rsidRPr="00105563" w:rsidRDefault="00E857E6" w:rsidP="005114BC">
      <w:pPr>
        <w:pStyle w:val="ListParagraph"/>
        <w:numPr>
          <w:ilvl w:val="0"/>
          <w:numId w:val="2"/>
        </w:numPr>
        <w:rPr>
          <w:b/>
          <w:bCs/>
          <w:sz w:val="32"/>
          <w:szCs w:val="32"/>
        </w:rPr>
      </w:pPr>
      <w:r w:rsidRPr="00105563">
        <w:rPr>
          <w:b/>
          <w:bCs/>
          <w:sz w:val="32"/>
          <w:szCs w:val="32"/>
        </w:rPr>
        <w:t>Value at Risk</w:t>
      </w:r>
    </w:p>
    <w:p w14:paraId="01EFED86" w14:textId="77777777" w:rsidR="00036E69" w:rsidRPr="004D2E91" w:rsidRDefault="00E857E6">
      <w:pPr>
        <w:rPr>
          <w:sz w:val="24"/>
          <w:szCs w:val="24"/>
        </w:rPr>
      </w:pPr>
      <w:r w:rsidRPr="004D2E91">
        <w:rPr>
          <w:sz w:val="24"/>
          <w:szCs w:val="24"/>
        </w:rPr>
        <w:t xml:space="preserve">Value at Risk based methodology enables to estimate the level of risk using statistical and simulation models for assets fluctuations and allows to measure the largest expected loss that the company can suffer from in given time and confidence level and in regular market conditions. The concept of operational risk management based upon the standard VaR methods is called Operational Value at Risk (OpVaR) methodology. The base for operational risk modelling in OpVar technique is creating its own operational database by the organization (incl. all the events that influence the system efficiency and accessibility, and bringing potential losses). This database, using statistical methods modified for the purpose of estimating the exposition to operational risk allows to estimate the highest potential loss providing conditions as per standard VaR – described above. However, because of the complex operational risk nature, and also because of the conditions set in VaR methodology, operational risk modelling using this method may not be precise enough. </w:t>
      </w:r>
    </w:p>
    <w:p w14:paraId="4CC0BBD2" w14:textId="77777777" w:rsidR="00036E69" w:rsidRPr="00105563" w:rsidRDefault="00E857E6" w:rsidP="00044A4D">
      <w:pPr>
        <w:pStyle w:val="ListParagraph"/>
        <w:numPr>
          <w:ilvl w:val="0"/>
          <w:numId w:val="2"/>
        </w:numPr>
        <w:rPr>
          <w:b/>
          <w:bCs/>
          <w:sz w:val="32"/>
          <w:szCs w:val="32"/>
        </w:rPr>
      </w:pPr>
      <w:r w:rsidRPr="00105563">
        <w:rPr>
          <w:b/>
          <w:bCs/>
          <w:sz w:val="32"/>
          <w:szCs w:val="32"/>
        </w:rPr>
        <w:t>Monte Carlo methods</w:t>
      </w:r>
    </w:p>
    <w:p w14:paraId="29F105A0" w14:textId="141EA2B8" w:rsidR="00A8161B" w:rsidRPr="004D2E91" w:rsidRDefault="00E857E6" w:rsidP="00A8161B">
      <w:pPr>
        <w:rPr>
          <w:sz w:val="24"/>
          <w:szCs w:val="24"/>
        </w:rPr>
      </w:pPr>
      <w:r w:rsidRPr="004D2E91">
        <w:rPr>
          <w:sz w:val="24"/>
          <w:szCs w:val="24"/>
        </w:rPr>
        <w:t xml:space="preserve"> Simulation Monte Carlo methods (MC) are methods based upon mathematical problem solving through random generation of numbers. Operational risk modelling using the MC techniques has four stages. Firstly, data on the frequency of single losses depending on event type and corresponding with business lines (typical for the financial institution) has to be collected. </w:t>
      </w:r>
      <w:r w:rsidR="00352739" w:rsidRPr="004D2E91">
        <w:rPr>
          <w:sz w:val="24"/>
          <w:szCs w:val="24"/>
        </w:rPr>
        <w:t>E.g.,</w:t>
      </w:r>
      <w:r w:rsidRPr="004D2E91">
        <w:rPr>
          <w:sz w:val="24"/>
          <w:szCs w:val="24"/>
        </w:rPr>
        <w:t xml:space="preserve"> frequency of losses resulting from system failure in business </w:t>
      </w:r>
      <w:r w:rsidR="00352739" w:rsidRPr="004D2E91">
        <w:rPr>
          <w:sz w:val="24"/>
          <w:szCs w:val="24"/>
        </w:rPr>
        <w:t>line, retail</w:t>
      </w:r>
      <w:r w:rsidRPr="004D2E91">
        <w:rPr>
          <w:sz w:val="24"/>
          <w:szCs w:val="24"/>
        </w:rPr>
        <w:t xml:space="preserve"> banking”. The second stage considers defining risk factors as random variables using the empirical data collected in the first stage. In the same stage their mutual relations and probability distribution has to be defined. For each combination of event type and business line we set the frequency distribution of this event happening and its influence on the size of losses. Then, using the set distributions we do the simulation of the number of events in a given amount of time. The number of necessary </w:t>
      </w:r>
      <w:r w:rsidR="00352739" w:rsidRPr="004D2E91">
        <w:rPr>
          <w:sz w:val="24"/>
          <w:szCs w:val="24"/>
        </w:rPr>
        <w:t>simulations</w:t>
      </w:r>
      <w:r w:rsidRPr="004D2E91">
        <w:rPr>
          <w:sz w:val="24"/>
          <w:szCs w:val="24"/>
        </w:rPr>
        <w:t xml:space="preserve"> varies from a few hundreds to over ten </w:t>
      </w:r>
      <w:r w:rsidR="00352739" w:rsidRPr="004D2E91">
        <w:rPr>
          <w:sz w:val="24"/>
          <w:szCs w:val="24"/>
        </w:rPr>
        <w:t>thousand</w:t>
      </w:r>
      <w:r w:rsidRPr="004D2E91">
        <w:rPr>
          <w:sz w:val="24"/>
          <w:szCs w:val="24"/>
        </w:rPr>
        <w:t xml:space="preserve">. The same actions have to be taken with regard to each event and business line combination. This way we receive the aggregated losses distribution from which we can estimate standard deviation referring to expected, unexpected and catastrophic losses. The most important issue in operational risk modelling process with the MC method is defining the distributions correctly describing frequency of events and their influence on the loss size. This problem is called model </w:t>
      </w:r>
      <w:r w:rsidR="00352739" w:rsidRPr="004D2E91">
        <w:rPr>
          <w:sz w:val="24"/>
          <w:szCs w:val="24"/>
        </w:rPr>
        <w:t>risk.</w:t>
      </w:r>
      <w:r w:rsidRPr="004D2E91">
        <w:rPr>
          <w:sz w:val="24"/>
          <w:szCs w:val="24"/>
        </w:rPr>
        <w:t xml:space="preserve"> This risk consists of two basic parts. First of them is finding the right density function, and the second is the correct estimation of the parameters of this function. </w:t>
      </w:r>
    </w:p>
    <w:p w14:paraId="513DAD89" w14:textId="3AF37C36" w:rsidR="00036E69" w:rsidRPr="00105563" w:rsidRDefault="00036E69" w:rsidP="00A8161B">
      <w:pPr>
        <w:pStyle w:val="ListParagraph"/>
        <w:numPr>
          <w:ilvl w:val="0"/>
          <w:numId w:val="2"/>
        </w:numPr>
        <w:rPr>
          <w:b/>
          <w:bCs/>
          <w:sz w:val="32"/>
          <w:szCs w:val="32"/>
        </w:rPr>
      </w:pPr>
      <w:r w:rsidRPr="00105563">
        <w:rPr>
          <w:b/>
          <w:bCs/>
          <w:sz w:val="32"/>
          <w:szCs w:val="32"/>
        </w:rPr>
        <w:t xml:space="preserve">Emergency scenario methods </w:t>
      </w:r>
    </w:p>
    <w:p w14:paraId="343C2418" w14:textId="3B3E7608" w:rsidR="00036E69" w:rsidRPr="004D2E91" w:rsidRDefault="00036E69">
      <w:pPr>
        <w:rPr>
          <w:sz w:val="24"/>
          <w:szCs w:val="24"/>
        </w:rPr>
      </w:pPr>
      <w:r w:rsidRPr="004D2E91">
        <w:rPr>
          <w:sz w:val="24"/>
          <w:szCs w:val="24"/>
        </w:rPr>
        <w:t xml:space="preserve">Comparative methods using the emergency scenario analysis methodology in operational risk estimation are different from the ones described above. The purpose of the scenarios analysis is not estimating the probability of huge operational loss occurrence, but testing the organization in view of its survival and further activities should the losses occur. In the scenario analysis method three kinds of scenarios are </w:t>
      </w:r>
      <w:r w:rsidR="00352739" w:rsidRPr="004D2E91">
        <w:rPr>
          <w:sz w:val="24"/>
          <w:szCs w:val="24"/>
        </w:rPr>
        <w:t>analysed</w:t>
      </w:r>
      <w:r w:rsidRPr="004D2E91">
        <w:rPr>
          <w:sz w:val="24"/>
          <w:szCs w:val="24"/>
        </w:rPr>
        <w:t xml:space="preserve"> – the optimistic, the probable and the pessimistic kind. Scenario analysis method is particularly useful in case of operational risk on the derivative instruments market. It requires assuming on the frequency of events and the values of losses they would bring and then calculating the losses that would be possible in a given time. The particular usefulness of the scenario analysis method on the derivative instruments market, where we have insufficient historical data regarding the frequency of operational risk occurrence and the losses caused shows through setting the pessimistic scenario defining the maximum level of losses on a given transaction. To sum up, we can</w:t>
      </w:r>
      <w:r w:rsidRPr="004D2E91">
        <w:rPr>
          <w:sz w:val="24"/>
          <w:szCs w:val="24"/>
        </w:rPr>
        <w:t xml:space="preserve"> </w:t>
      </w:r>
      <w:r w:rsidRPr="004D2E91">
        <w:rPr>
          <w:sz w:val="24"/>
          <w:szCs w:val="24"/>
        </w:rPr>
        <w:t>say that the scenario analysis method is a way to estimation of the scale, the extreme results and irregular events, unfavourable for the organization</w:t>
      </w:r>
      <w:r w:rsidR="0019420B" w:rsidRPr="004D2E91">
        <w:rPr>
          <w:sz w:val="24"/>
          <w:szCs w:val="24"/>
        </w:rPr>
        <w:t>.</w:t>
      </w:r>
    </w:p>
    <w:p w14:paraId="2A1FFF63" w14:textId="2D3215B8" w:rsidR="00036E69" w:rsidRPr="00105563" w:rsidRDefault="00E857E6" w:rsidP="00044A4D">
      <w:pPr>
        <w:pStyle w:val="ListParagraph"/>
        <w:numPr>
          <w:ilvl w:val="0"/>
          <w:numId w:val="2"/>
        </w:numPr>
        <w:rPr>
          <w:b/>
          <w:bCs/>
          <w:sz w:val="32"/>
          <w:szCs w:val="32"/>
        </w:rPr>
      </w:pPr>
      <w:r w:rsidRPr="00105563">
        <w:rPr>
          <w:b/>
          <w:bCs/>
          <w:sz w:val="32"/>
          <w:szCs w:val="32"/>
        </w:rPr>
        <w:t xml:space="preserve">Extreme </w:t>
      </w:r>
      <w:r w:rsidR="00352739" w:rsidRPr="00105563">
        <w:rPr>
          <w:b/>
          <w:bCs/>
          <w:sz w:val="32"/>
          <w:szCs w:val="32"/>
        </w:rPr>
        <w:t>value-based</w:t>
      </w:r>
      <w:r w:rsidRPr="00105563">
        <w:rPr>
          <w:b/>
          <w:bCs/>
          <w:sz w:val="32"/>
          <w:szCs w:val="32"/>
        </w:rPr>
        <w:t xml:space="preserve"> methods </w:t>
      </w:r>
    </w:p>
    <w:p w14:paraId="3F1BDD06" w14:textId="208F0783" w:rsidR="00B2752C" w:rsidRPr="004D2E91" w:rsidRDefault="00E857E6">
      <w:pPr>
        <w:rPr>
          <w:sz w:val="24"/>
          <w:szCs w:val="24"/>
        </w:rPr>
      </w:pPr>
      <w:r w:rsidRPr="004D2E91">
        <w:rPr>
          <w:sz w:val="24"/>
          <w:szCs w:val="24"/>
        </w:rPr>
        <w:t>Extreme value is a value that is significantly different from the average. Operational risk estimation with the use of this method bases upon setting the loss distributions caused by the operational risk at the maximum level that may result from the occurrence of given event. The extreme values distributions may be described together as the risk level. The approach based upon the extreme values theory uses the fact that the observations form the end of the distribution may be approximated by generalized Pareto’s distributions5 and Poisson’s distributions. These distributions are used for generating loss distributions above the given level of values and operational risk level estimation.</w:t>
      </w:r>
    </w:p>
    <w:p w14:paraId="7B7A5EAD" w14:textId="77777777" w:rsidR="00036E69" w:rsidRPr="00105563" w:rsidRDefault="00E857E6" w:rsidP="00044A4D">
      <w:pPr>
        <w:pStyle w:val="ListParagraph"/>
        <w:numPr>
          <w:ilvl w:val="0"/>
          <w:numId w:val="2"/>
        </w:numPr>
        <w:rPr>
          <w:b/>
          <w:bCs/>
          <w:sz w:val="32"/>
          <w:szCs w:val="32"/>
        </w:rPr>
      </w:pPr>
      <w:r w:rsidRPr="00105563">
        <w:rPr>
          <w:b/>
          <w:bCs/>
          <w:sz w:val="32"/>
          <w:szCs w:val="32"/>
        </w:rPr>
        <w:t>Comparative analysis methods</w:t>
      </w:r>
    </w:p>
    <w:p w14:paraId="488B63C5" w14:textId="3782A854" w:rsidR="00B2752C" w:rsidRPr="004D2E91" w:rsidRDefault="00E857E6">
      <w:pPr>
        <w:rPr>
          <w:sz w:val="24"/>
          <w:szCs w:val="24"/>
        </w:rPr>
      </w:pPr>
      <w:r w:rsidRPr="004D2E91">
        <w:rPr>
          <w:sz w:val="24"/>
          <w:szCs w:val="24"/>
        </w:rPr>
        <w:t xml:space="preserve"> Comparative analysis methods are based upon the benchmarking concept in its broad meaning. Benchmarking means comparing processes and practices used in the companies considered best in the given field. The results of such analysis become the basis for improving the business processes. The core issue in benchmarking is discovering the factors that make the process effective and then finding similar possibilities in one’s own company. This is a process of learning and adapting the best practices. Typical phases in benchmarking are: choice of the issues to be compared, preparing the analysis plan and the choice of methods for data collection, choosing the companies to compare to, data collection, data comparison, analysis, preparation of recommendations, change implementation planning, change implementation, process repeating after the changes have been implemented.</w:t>
      </w:r>
    </w:p>
    <w:p w14:paraId="7FE31146" w14:textId="079AA2BD" w:rsidR="00B2752C" w:rsidRPr="005D6E3F" w:rsidRDefault="00044A4D" w:rsidP="00105563">
      <w:pPr>
        <w:jc w:val="center"/>
        <w:rPr>
          <w:b/>
          <w:bCs/>
          <w:sz w:val="32"/>
          <w:szCs w:val="32"/>
          <w:u w:val="single"/>
        </w:rPr>
      </w:pPr>
      <w:r w:rsidRPr="005D6E3F">
        <w:rPr>
          <w:b/>
          <w:bCs/>
          <w:sz w:val="32"/>
          <w:szCs w:val="32"/>
          <w:u w:val="single"/>
        </w:rPr>
        <w:t>CONCLUSION</w:t>
      </w:r>
    </w:p>
    <w:p w14:paraId="2B90A128" w14:textId="386756BE" w:rsidR="00044A4D" w:rsidRDefault="00044A4D">
      <w:r>
        <w:t xml:space="preserve">Use of the quantitative methodology in estimation of exposition to operational risk in company depends on the assumption of the company having the database regarding the operational losses. However, because of the operational risk characteristics, in reality the empirical data may happen to be insufficient in that area. </w:t>
      </w:r>
      <w:r w:rsidR="00352739">
        <w:t>Therefore,</w:t>
      </w:r>
      <w:r>
        <w:t xml:space="preserve"> it proves necessary to obtain information from the institutions outside the company. Such information, modified in a special way may be very effective in completing the database with the data concerning the probability of certain threats. </w:t>
      </w:r>
    </w:p>
    <w:p w14:paraId="77C49DC6" w14:textId="77777777" w:rsidR="004D2E91" w:rsidRDefault="00044A4D">
      <w:r>
        <w:t>Still, the full picture of the operational risk may only be achieved by using the qualitative-quantitative approach where quantitative estimation methods are completed by the qualitative methodology using experts’ evaluation, their experience, intuition and knowledge.</w:t>
      </w:r>
    </w:p>
    <w:p w14:paraId="0F850662" w14:textId="77777777" w:rsidR="0031747F" w:rsidRDefault="00105563">
      <w:r>
        <w:t>----------------------------------</w:t>
      </w:r>
      <w:r w:rsidR="004D2E91">
        <w:t>---------------------</w:t>
      </w:r>
      <w:r>
        <w:t>-----XXXX----------------------------------------------------------------</w:t>
      </w:r>
    </w:p>
    <w:sectPr w:rsidR="0031747F" w:rsidSect="002A3037">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A43BB" w14:textId="77777777" w:rsidR="004D2E91" w:rsidRDefault="004D2E91" w:rsidP="004D2E91">
      <w:pPr>
        <w:spacing w:after="0" w:line="240" w:lineRule="auto"/>
      </w:pPr>
      <w:r>
        <w:separator/>
      </w:r>
    </w:p>
  </w:endnote>
  <w:endnote w:type="continuationSeparator" w:id="0">
    <w:p w14:paraId="23988976" w14:textId="77777777" w:rsidR="004D2E91" w:rsidRDefault="004D2E91" w:rsidP="004D2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F9829" w14:textId="77777777" w:rsidR="004D2E91" w:rsidRDefault="004D2E91" w:rsidP="004D2E91">
      <w:pPr>
        <w:spacing w:after="0" w:line="240" w:lineRule="auto"/>
      </w:pPr>
      <w:r>
        <w:separator/>
      </w:r>
    </w:p>
  </w:footnote>
  <w:footnote w:type="continuationSeparator" w:id="0">
    <w:p w14:paraId="7638BFAA" w14:textId="77777777" w:rsidR="004D2E91" w:rsidRDefault="004D2E91" w:rsidP="004D2E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E6871"/>
    <w:multiLevelType w:val="hybridMultilevel"/>
    <w:tmpl w:val="FA5C59C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6024DC9"/>
    <w:multiLevelType w:val="hybridMultilevel"/>
    <w:tmpl w:val="BE5C84F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C600CF6"/>
    <w:multiLevelType w:val="hybridMultilevel"/>
    <w:tmpl w:val="CC8A46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B5620FD"/>
    <w:multiLevelType w:val="hybridMultilevel"/>
    <w:tmpl w:val="70AACCB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1687A3C"/>
    <w:multiLevelType w:val="hybridMultilevel"/>
    <w:tmpl w:val="F0A46D9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4BC1C4D"/>
    <w:multiLevelType w:val="hybridMultilevel"/>
    <w:tmpl w:val="B50AD1F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CB55FB8"/>
    <w:multiLevelType w:val="hybridMultilevel"/>
    <w:tmpl w:val="9E0CB59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0"/>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2F7"/>
    <w:rsid w:val="00012259"/>
    <w:rsid w:val="00036E69"/>
    <w:rsid w:val="00044A4D"/>
    <w:rsid w:val="000D5016"/>
    <w:rsid w:val="00105563"/>
    <w:rsid w:val="001074F3"/>
    <w:rsid w:val="0019420B"/>
    <w:rsid w:val="001A58C9"/>
    <w:rsid w:val="002135EC"/>
    <w:rsid w:val="002251F1"/>
    <w:rsid w:val="00257E28"/>
    <w:rsid w:val="00291D94"/>
    <w:rsid w:val="002A3037"/>
    <w:rsid w:val="002B2736"/>
    <w:rsid w:val="0031747F"/>
    <w:rsid w:val="00324BC3"/>
    <w:rsid w:val="00337FA8"/>
    <w:rsid w:val="00352739"/>
    <w:rsid w:val="0038316D"/>
    <w:rsid w:val="00421EC2"/>
    <w:rsid w:val="004638B3"/>
    <w:rsid w:val="00470A93"/>
    <w:rsid w:val="004C1CEA"/>
    <w:rsid w:val="004D2E91"/>
    <w:rsid w:val="004F3369"/>
    <w:rsid w:val="005114BC"/>
    <w:rsid w:val="00562146"/>
    <w:rsid w:val="00591DD8"/>
    <w:rsid w:val="00594526"/>
    <w:rsid w:val="005A30B1"/>
    <w:rsid w:val="005D6E3F"/>
    <w:rsid w:val="006258ED"/>
    <w:rsid w:val="006962F7"/>
    <w:rsid w:val="0078338F"/>
    <w:rsid w:val="007B5998"/>
    <w:rsid w:val="007E4725"/>
    <w:rsid w:val="00973451"/>
    <w:rsid w:val="00A8161B"/>
    <w:rsid w:val="00A973E4"/>
    <w:rsid w:val="00B2752C"/>
    <w:rsid w:val="00B60F85"/>
    <w:rsid w:val="00BF2194"/>
    <w:rsid w:val="00C5265D"/>
    <w:rsid w:val="00C91426"/>
    <w:rsid w:val="00D325F9"/>
    <w:rsid w:val="00D328DC"/>
    <w:rsid w:val="00DE2613"/>
    <w:rsid w:val="00E857E6"/>
    <w:rsid w:val="00F7100C"/>
    <w:rsid w:val="00FB6277"/>
    <w:rsid w:val="00FE623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41EBC"/>
  <w15:chartTrackingRefBased/>
  <w15:docId w15:val="{1A0E987C-4D82-46A0-B7DE-3C93F17A4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5A30B1"/>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0F85"/>
    <w:pPr>
      <w:ind w:left="720"/>
      <w:contextualSpacing/>
    </w:pPr>
  </w:style>
  <w:style w:type="character" w:styleId="Hyperlink">
    <w:name w:val="Hyperlink"/>
    <w:basedOn w:val="DefaultParagraphFont"/>
    <w:uiPriority w:val="99"/>
    <w:semiHidden/>
    <w:unhideWhenUsed/>
    <w:rsid w:val="00421EC2"/>
    <w:rPr>
      <w:color w:val="0000FF"/>
      <w:u w:val="single"/>
    </w:rPr>
  </w:style>
  <w:style w:type="paragraph" w:styleId="NormalWeb">
    <w:name w:val="Normal (Web)"/>
    <w:basedOn w:val="Normal"/>
    <w:uiPriority w:val="99"/>
    <w:unhideWhenUsed/>
    <w:rsid w:val="00421EC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ls8">
    <w:name w:val="ls8"/>
    <w:basedOn w:val="DefaultParagraphFont"/>
    <w:rsid w:val="006258ED"/>
  </w:style>
  <w:style w:type="character" w:customStyle="1" w:styleId="ls0">
    <w:name w:val="ls0"/>
    <w:basedOn w:val="DefaultParagraphFont"/>
    <w:rsid w:val="006258ED"/>
  </w:style>
  <w:style w:type="character" w:customStyle="1" w:styleId="lsd">
    <w:name w:val="lsd"/>
    <w:basedOn w:val="DefaultParagraphFont"/>
    <w:rsid w:val="006258ED"/>
  </w:style>
  <w:style w:type="character" w:customStyle="1" w:styleId="ls2">
    <w:name w:val="ls2"/>
    <w:basedOn w:val="DefaultParagraphFont"/>
    <w:rsid w:val="006258ED"/>
  </w:style>
  <w:style w:type="character" w:customStyle="1" w:styleId="ws21">
    <w:name w:val="ws21"/>
    <w:basedOn w:val="DefaultParagraphFont"/>
    <w:rsid w:val="006258ED"/>
  </w:style>
  <w:style w:type="character" w:customStyle="1" w:styleId="ws23">
    <w:name w:val="ws23"/>
    <w:basedOn w:val="DefaultParagraphFont"/>
    <w:rsid w:val="006258ED"/>
  </w:style>
  <w:style w:type="character" w:customStyle="1" w:styleId="lsa">
    <w:name w:val="lsa"/>
    <w:basedOn w:val="DefaultParagraphFont"/>
    <w:rsid w:val="006258ED"/>
  </w:style>
  <w:style w:type="character" w:customStyle="1" w:styleId="Heading4Char">
    <w:name w:val="Heading 4 Char"/>
    <w:basedOn w:val="DefaultParagraphFont"/>
    <w:link w:val="Heading4"/>
    <w:uiPriority w:val="9"/>
    <w:rsid w:val="005A30B1"/>
    <w:rPr>
      <w:rFonts w:ascii="Times New Roman" w:eastAsia="Times New Roman" w:hAnsi="Times New Roman" w:cs="Times New Roman"/>
      <w:b/>
      <w:bCs/>
      <w:sz w:val="24"/>
      <w:szCs w:val="24"/>
      <w:lang w:eastAsia="en-IN"/>
    </w:rPr>
  </w:style>
  <w:style w:type="table" w:styleId="TableGrid">
    <w:name w:val="Table Grid"/>
    <w:basedOn w:val="TableNormal"/>
    <w:uiPriority w:val="39"/>
    <w:rsid w:val="00324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2E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2E91"/>
  </w:style>
  <w:style w:type="paragraph" w:styleId="Footer">
    <w:name w:val="footer"/>
    <w:basedOn w:val="Normal"/>
    <w:link w:val="FooterChar"/>
    <w:uiPriority w:val="99"/>
    <w:unhideWhenUsed/>
    <w:rsid w:val="004D2E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2E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320078">
      <w:bodyDiv w:val="1"/>
      <w:marLeft w:val="0"/>
      <w:marRight w:val="0"/>
      <w:marTop w:val="0"/>
      <w:marBottom w:val="0"/>
      <w:divBdr>
        <w:top w:val="none" w:sz="0" w:space="0" w:color="auto"/>
        <w:left w:val="none" w:sz="0" w:space="0" w:color="auto"/>
        <w:bottom w:val="none" w:sz="0" w:space="0" w:color="auto"/>
        <w:right w:val="none" w:sz="0" w:space="0" w:color="auto"/>
      </w:divBdr>
      <w:divsChild>
        <w:div w:id="2034962702">
          <w:marLeft w:val="0"/>
          <w:marRight w:val="0"/>
          <w:marTop w:val="0"/>
          <w:marBottom w:val="0"/>
          <w:divBdr>
            <w:top w:val="none" w:sz="0" w:space="0" w:color="auto"/>
            <w:left w:val="none" w:sz="0" w:space="0" w:color="auto"/>
            <w:bottom w:val="none" w:sz="0" w:space="0" w:color="auto"/>
            <w:right w:val="none" w:sz="0" w:space="0" w:color="auto"/>
          </w:divBdr>
          <w:divsChild>
            <w:div w:id="851720815">
              <w:marLeft w:val="0"/>
              <w:marRight w:val="0"/>
              <w:marTop w:val="0"/>
              <w:marBottom w:val="0"/>
              <w:divBdr>
                <w:top w:val="none" w:sz="0" w:space="0" w:color="auto"/>
                <w:left w:val="none" w:sz="0" w:space="0" w:color="auto"/>
                <w:bottom w:val="none" w:sz="0" w:space="0" w:color="auto"/>
                <w:right w:val="none" w:sz="0" w:space="0" w:color="auto"/>
              </w:divBdr>
            </w:div>
            <w:div w:id="1258905029">
              <w:marLeft w:val="0"/>
              <w:marRight w:val="0"/>
              <w:marTop w:val="0"/>
              <w:marBottom w:val="0"/>
              <w:divBdr>
                <w:top w:val="none" w:sz="0" w:space="0" w:color="auto"/>
                <w:left w:val="none" w:sz="0" w:space="0" w:color="auto"/>
                <w:bottom w:val="none" w:sz="0" w:space="0" w:color="auto"/>
                <w:right w:val="none" w:sz="0" w:space="0" w:color="auto"/>
              </w:divBdr>
            </w:div>
          </w:divsChild>
        </w:div>
        <w:div w:id="1615594041">
          <w:marLeft w:val="0"/>
          <w:marRight w:val="0"/>
          <w:marTop w:val="0"/>
          <w:marBottom w:val="0"/>
          <w:divBdr>
            <w:top w:val="none" w:sz="0" w:space="0" w:color="auto"/>
            <w:left w:val="none" w:sz="0" w:space="0" w:color="auto"/>
            <w:bottom w:val="none" w:sz="0" w:space="0" w:color="auto"/>
            <w:right w:val="none" w:sz="0" w:space="0" w:color="auto"/>
          </w:divBdr>
          <w:divsChild>
            <w:div w:id="1642615930">
              <w:marLeft w:val="0"/>
              <w:marRight w:val="0"/>
              <w:marTop w:val="0"/>
              <w:marBottom w:val="0"/>
              <w:divBdr>
                <w:top w:val="none" w:sz="0" w:space="0" w:color="auto"/>
                <w:left w:val="none" w:sz="0" w:space="0" w:color="auto"/>
                <w:bottom w:val="none" w:sz="0" w:space="0" w:color="auto"/>
                <w:right w:val="none" w:sz="0" w:space="0" w:color="auto"/>
              </w:divBdr>
            </w:div>
            <w:div w:id="2098355746">
              <w:marLeft w:val="0"/>
              <w:marRight w:val="0"/>
              <w:marTop w:val="0"/>
              <w:marBottom w:val="0"/>
              <w:divBdr>
                <w:top w:val="none" w:sz="0" w:space="0" w:color="auto"/>
                <w:left w:val="none" w:sz="0" w:space="0" w:color="auto"/>
                <w:bottom w:val="none" w:sz="0" w:space="0" w:color="auto"/>
                <w:right w:val="none" w:sz="0" w:space="0" w:color="auto"/>
              </w:divBdr>
            </w:div>
          </w:divsChild>
        </w:div>
        <w:div w:id="659112625">
          <w:marLeft w:val="0"/>
          <w:marRight w:val="0"/>
          <w:marTop w:val="0"/>
          <w:marBottom w:val="0"/>
          <w:divBdr>
            <w:top w:val="none" w:sz="0" w:space="0" w:color="auto"/>
            <w:left w:val="none" w:sz="0" w:space="0" w:color="auto"/>
            <w:bottom w:val="none" w:sz="0" w:space="0" w:color="auto"/>
            <w:right w:val="none" w:sz="0" w:space="0" w:color="auto"/>
          </w:divBdr>
          <w:divsChild>
            <w:div w:id="1369143441">
              <w:marLeft w:val="0"/>
              <w:marRight w:val="0"/>
              <w:marTop w:val="0"/>
              <w:marBottom w:val="0"/>
              <w:divBdr>
                <w:top w:val="none" w:sz="0" w:space="0" w:color="auto"/>
                <w:left w:val="none" w:sz="0" w:space="0" w:color="auto"/>
                <w:bottom w:val="none" w:sz="0" w:space="0" w:color="auto"/>
                <w:right w:val="none" w:sz="0" w:space="0" w:color="auto"/>
              </w:divBdr>
            </w:div>
            <w:div w:id="19728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49550">
      <w:bodyDiv w:val="1"/>
      <w:marLeft w:val="0"/>
      <w:marRight w:val="0"/>
      <w:marTop w:val="0"/>
      <w:marBottom w:val="0"/>
      <w:divBdr>
        <w:top w:val="none" w:sz="0" w:space="0" w:color="auto"/>
        <w:left w:val="none" w:sz="0" w:space="0" w:color="auto"/>
        <w:bottom w:val="none" w:sz="0" w:space="0" w:color="auto"/>
        <w:right w:val="none" w:sz="0" w:space="0" w:color="auto"/>
      </w:divBdr>
    </w:div>
    <w:div w:id="481771111">
      <w:bodyDiv w:val="1"/>
      <w:marLeft w:val="0"/>
      <w:marRight w:val="0"/>
      <w:marTop w:val="0"/>
      <w:marBottom w:val="0"/>
      <w:divBdr>
        <w:top w:val="none" w:sz="0" w:space="0" w:color="auto"/>
        <w:left w:val="none" w:sz="0" w:space="0" w:color="auto"/>
        <w:bottom w:val="none" w:sz="0" w:space="0" w:color="auto"/>
        <w:right w:val="none" w:sz="0" w:space="0" w:color="auto"/>
      </w:divBdr>
    </w:div>
    <w:div w:id="571233162">
      <w:bodyDiv w:val="1"/>
      <w:marLeft w:val="0"/>
      <w:marRight w:val="0"/>
      <w:marTop w:val="0"/>
      <w:marBottom w:val="0"/>
      <w:divBdr>
        <w:top w:val="none" w:sz="0" w:space="0" w:color="auto"/>
        <w:left w:val="none" w:sz="0" w:space="0" w:color="auto"/>
        <w:bottom w:val="none" w:sz="0" w:space="0" w:color="auto"/>
        <w:right w:val="none" w:sz="0" w:space="0" w:color="auto"/>
      </w:divBdr>
    </w:div>
    <w:div w:id="1895846853">
      <w:bodyDiv w:val="1"/>
      <w:marLeft w:val="0"/>
      <w:marRight w:val="0"/>
      <w:marTop w:val="0"/>
      <w:marBottom w:val="0"/>
      <w:divBdr>
        <w:top w:val="none" w:sz="0" w:space="0" w:color="auto"/>
        <w:left w:val="none" w:sz="0" w:space="0" w:color="auto"/>
        <w:bottom w:val="none" w:sz="0" w:space="0" w:color="auto"/>
        <w:right w:val="none" w:sz="0" w:space="0" w:color="auto"/>
      </w:divBdr>
    </w:div>
    <w:div w:id="202697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Standardized_approach_(operational_ris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n.wikipedia.org/wiki/Basic_Indicator_Approac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29B8F-91E8-4464-8006-30519D0B1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3564</Words>
  <Characters>20316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devika jyotish</dc:creator>
  <cp:keywords/>
  <dc:description/>
  <cp:lastModifiedBy>devika jyotish</cp:lastModifiedBy>
  <cp:revision>2</cp:revision>
  <dcterms:created xsi:type="dcterms:W3CDTF">2022-03-31T15:01:00Z</dcterms:created>
  <dcterms:modified xsi:type="dcterms:W3CDTF">2022-03-31T15:01:00Z</dcterms:modified>
</cp:coreProperties>
</file>