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3A5F" w14:textId="2BC407EB" w:rsidR="00907A4F" w:rsidRPr="00606A2A" w:rsidRDefault="001F0293">
      <w:pPr>
        <w:rPr>
          <w:rFonts w:ascii="Comic Sans MS" w:hAnsi="Comic Sans MS"/>
          <w:sz w:val="20"/>
          <w:szCs w:val="20"/>
        </w:rPr>
      </w:pPr>
      <w:r w:rsidRPr="00606A2A">
        <w:rPr>
          <w:rFonts w:ascii="Comic Sans MS" w:hAnsi="Comic Sans MS"/>
          <w:sz w:val="20"/>
          <w:szCs w:val="20"/>
        </w:rPr>
        <w:t>Unit 2</w:t>
      </w:r>
    </w:p>
    <w:p w14:paraId="1A708822" w14:textId="08D32C19" w:rsidR="001F0293" w:rsidRPr="00606A2A" w:rsidRDefault="001F0293" w:rsidP="001F0293">
      <w:pPr>
        <w:pStyle w:val="ListParagraph"/>
        <w:numPr>
          <w:ilvl w:val="0"/>
          <w:numId w:val="1"/>
        </w:numPr>
        <w:rPr>
          <w:rFonts w:ascii="Comic Sans MS" w:hAnsi="Comic Sans MS"/>
          <w:sz w:val="20"/>
          <w:szCs w:val="20"/>
        </w:rPr>
      </w:pPr>
      <w:r w:rsidRPr="00606A2A">
        <w:rPr>
          <w:rFonts w:ascii="Comic Sans MS" w:hAnsi="Comic Sans MS"/>
          <w:sz w:val="20"/>
          <w:szCs w:val="20"/>
        </w:rPr>
        <w:t>brokerage costs.</w:t>
      </w:r>
    </w:p>
    <w:p w14:paraId="284F6771" w14:textId="7E9AC3CC" w:rsidR="001F0293" w:rsidRPr="00606A2A" w:rsidRDefault="001F0293" w:rsidP="001F0293">
      <w:pPr>
        <w:pStyle w:val="ListParagraph"/>
        <w:numPr>
          <w:ilvl w:val="0"/>
          <w:numId w:val="1"/>
        </w:numPr>
        <w:rPr>
          <w:rFonts w:ascii="Comic Sans MS" w:hAnsi="Comic Sans MS"/>
          <w:sz w:val="20"/>
          <w:szCs w:val="20"/>
        </w:rPr>
      </w:pPr>
      <w:r w:rsidRPr="00606A2A">
        <w:rPr>
          <w:rFonts w:ascii="Comic Sans MS" w:hAnsi="Comic Sans MS"/>
          <w:sz w:val="20"/>
          <w:szCs w:val="20"/>
        </w:rPr>
        <w:t>play an active role in the management of companies.</w:t>
      </w:r>
    </w:p>
    <w:p w14:paraId="1256566F" w14:textId="114B0A67" w:rsidR="001F0293" w:rsidRPr="00606A2A" w:rsidRDefault="001F0293" w:rsidP="001F0293">
      <w:pPr>
        <w:pStyle w:val="ListParagraph"/>
        <w:numPr>
          <w:ilvl w:val="0"/>
          <w:numId w:val="1"/>
        </w:numPr>
        <w:rPr>
          <w:rFonts w:ascii="Comic Sans MS" w:hAnsi="Comic Sans MS"/>
          <w:sz w:val="20"/>
          <w:szCs w:val="20"/>
        </w:rPr>
      </w:pPr>
      <w:r w:rsidRPr="00606A2A">
        <w:rPr>
          <w:rFonts w:ascii="Comic Sans MS" w:hAnsi="Comic Sans MS"/>
          <w:sz w:val="20"/>
          <w:szCs w:val="20"/>
        </w:rPr>
        <w:t>are not offered for sale to the general public.</w:t>
      </w:r>
    </w:p>
    <w:p w14:paraId="06DAC187" w14:textId="05D1D5B3" w:rsidR="001F0293" w:rsidRPr="00606A2A" w:rsidRDefault="009A1B01" w:rsidP="001F0293">
      <w:pPr>
        <w:pStyle w:val="ListParagraph"/>
        <w:numPr>
          <w:ilvl w:val="0"/>
          <w:numId w:val="1"/>
        </w:numPr>
        <w:rPr>
          <w:rFonts w:ascii="Comic Sans MS" w:hAnsi="Comic Sans MS"/>
          <w:sz w:val="20"/>
          <w:szCs w:val="20"/>
        </w:rPr>
      </w:pPr>
      <w:r w:rsidRPr="00606A2A">
        <w:rPr>
          <w:rFonts w:ascii="Comic Sans MS" w:hAnsi="Comic Sans MS"/>
          <w:sz w:val="20"/>
          <w:szCs w:val="20"/>
        </w:rPr>
        <w:t>an insurance company.</w:t>
      </w:r>
    </w:p>
    <w:p w14:paraId="6B390716" w14:textId="7747E058" w:rsidR="009A1B01" w:rsidRPr="00606A2A" w:rsidRDefault="009A1B01" w:rsidP="001F0293">
      <w:pPr>
        <w:pStyle w:val="ListParagraph"/>
        <w:numPr>
          <w:ilvl w:val="0"/>
          <w:numId w:val="1"/>
        </w:numPr>
        <w:rPr>
          <w:rFonts w:ascii="Comic Sans MS" w:hAnsi="Comic Sans MS"/>
          <w:sz w:val="20"/>
          <w:szCs w:val="20"/>
        </w:rPr>
      </w:pPr>
      <w:r w:rsidRPr="00606A2A">
        <w:rPr>
          <w:rFonts w:ascii="Comic Sans MS" w:hAnsi="Comic Sans MS"/>
          <w:sz w:val="20"/>
          <w:szCs w:val="20"/>
        </w:rPr>
        <w:t>an endowment.</w:t>
      </w:r>
    </w:p>
    <w:p w14:paraId="33A90C41" w14:textId="43228786" w:rsidR="009A1B01" w:rsidRPr="00606A2A" w:rsidRDefault="009A1B01" w:rsidP="001F0293">
      <w:pPr>
        <w:pStyle w:val="ListParagraph"/>
        <w:numPr>
          <w:ilvl w:val="0"/>
          <w:numId w:val="1"/>
        </w:numPr>
        <w:rPr>
          <w:rFonts w:ascii="Comic Sans MS" w:hAnsi="Comic Sans MS"/>
          <w:sz w:val="20"/>
          <w:szCs w:val="20"/>
        </w:rPr>
      </w:pPr>
      <w:r w:rsidRPr="00606A2A">
        <w:rPr>
          <w:rFonts w:ascii="Comic Sans MS" w:hAnsi="Comic Sans MS"/>
          <w:sz w:val="20"/>
          <w:szCs w:val="20"/>
        </w:rPr>
        <w:t>Minimum total return requirement of 8%.</w:t>
      </w:r>
    </w:p>
    <w:p w14:paraId="1EB5EBF6" w14:textId="552A51A5" w:rsidR="009A1B01" w:rsidRPr="00606A2A" w:rsidRDefault="005425B0" w:rsidP="001F0293">
      <w:pPr>
        <w:pStyle w:val="ListParagraph"/>
        <w:numPr>
          <w:ilvl w:val="0"/>
          <w:numId w:val="1"/>
        </w:numPr>
        <w:rPr>
          <w:rFonts w:ascii="Comic Sans MS" w:hAnsi="Comic Sans MS"/>
          <w:sz w:val="20"/>
          <w:szCs w:val="20"/>
        </w:rPr>
      </w:pPr>
      <w:r w:rsidRPr="00606A2A">
        <w:rPr>
          <w:rFonts w:ascii="Comic Sans MS" w:hAnsi="Comic Sans MS"/>
          <w:sz w:val="20"/>
          <w:szCs w:val="20"/>
        </w:rPr>
        <w:t>high within each asset class and low among asset classes.</w:t>
      </w:r>
    </w:p>
    <w:p w14:paraId="60C681F4" w14:textId="0FD42BCC" w:rsidR="00A20B55" w:rsidRPr="00606A2A" w:rsidRDefault="005425B0" w:rsidP="00A20B55">
      <w:pPr>
        <w:pStyle w:val="ListParagraph"/>
        <w:numPr>
          <w:ilvl w:val="0"/>
          <w:numId w:val="1"/>
        </w:numPr>
        <w:rPr>
          <w:rFonts w:ascii="Comic Sans MS" w:hAnsi="Comic Sans MS"/>
          <w:sz w:val="20"/>
          <w:szCs w:val="20"/>
        </w:rPr>
      </w:pPr>
      <w:r w:rsidRPr="00606A2A">
        <w:rPr>
          <w:rFonts w:ascii="Comic Sans MS" w:hAnsi="Comic Sans MS"/>
          <w:sz w:val="20"/>
          <w:szCs w:val="20"/>
        </w:rPr>
        <w:t>incorporate forecasts of future economic conditions</w:t>
      </w:r>
      <w:r w:rsidR="00A20B55" w:rsidRPr="00606A2A">
        <w:rPr>
          <w:rFonts w:ascii="Comic Sans MS" w:hAnsi="Comic Sans MS"/>
          <w:sz w:val="20"/>
          <w:szCs w:val="20"/>
        </w:rPr>
        <w:t>.</w:t>
      </w:r>
    </w:p>
    <w:p w14:paraId="49CE0351" w14:textId="77777777" w:rsidR="00D73A9C" w:rsidRPr="00606A2A" w:rsidRDefault="00D73A9C" w:rsidP="00D73A9C">
      <w:pPr>
        <w:pStyle w:val="ListParagraph"/>
        <w:numPr>
          <w:ilvl w:val="0"/>
          <w:numId w:val="1"/>
        </w:numPr>
        <w:rPr>
          <w:rFonts w:ascii="Comic Sans MS" w:hAnsi="Comic Sans MS"/>
          <w:sz w:val="20"/>
          <w:szCs w:val="20"/>
        </w:rPr>
      </w:pPr>
      <w:r w:rsidRPr="00606A2A">
        <w:rPr>
          <w:rFonts w:ascii="Comic Sans MS" w:hAnsi="Comic Sans MS"/>
          <w:sz w:val="20"/>
          <w:szCs w:val="20"/>
        </w:rPr>
        <w:t>The willingness to take on risk has to be consistent with the ability to take on risk. There may be instances within an institutional environment where there is a conflict between the willingness and ability to take on risk. In a well-funded pension plan, for instance, the trustees and beneficiaries may wish to adopt a low-risk investment approach while the plan sponsor wants to invest more aggressively. In such a situation, the trustees must always act in the best interests of the beneficiaries.</w:t>
      </w:r>
    </w:p>
    <w:p w14:paraId="301B2AAB" w14:textId="010096E2" w:rsidR="00A20B55" w:rsidRPr="00606A2A" w:rsidRDefault="00D73A9C" w:rsidP="00D73A9C">
      <w:pPr>
        <w:pStyle w:val="ListParagraph"/>
        <w:rPr>
          <w:rFonts w:ascii="Comic Sans MS" w:hAnsi="Comic Sans MS"/>
          <w:sz w:val="20"/>
          <w:szCs w:val="20"/>
        </w:rPr>
      </w:pPr>
      <w:r w:rsidRPr="00606A2A">
        <w:rPr>
          <w:rFonts w:ascii="Comic Sans MS" w:hAnsi="Comic Sans MS"/>
          <w:sz w:val="20"/>
          <w:szCs w:val="20"/>
        </w:rPr>
        <w:t>Further, in case of such a conflict, the advisor should not aim to change the client’s willingness to take on risk, assuming that risk aversion is not due to misinterpretation or miscalculation. The prudent approach is to find a risk tolerance level that is lower than the ability and willingness to assume risk.</w:t>
      </w:r>
    </w:p>
    <w:p w14:paraId="176010A9" w14:textId="25D9CC5D" w:rsidR="00D73A9C" w:rsidRPr="00606A2A" w:rsidRDefault="00D73A9C" w:rsidP="00D73A9C">
      <w:pPr>
        <w:pStyle w:val="ListParagraph"/>
        <w:numPr>
          <w:ilvl w:val="0"/>
          <w:numId w:val="1"/>
        </w:numPr>
        <w:rPr>
          <w:rFonts w:ascii="Comic Sans MS" w:hAnsi="Comic Sans MS"/>
          <w:sz w:val="20"/>
          <w:szCs w:val="20"/>
        </w:rPr>
      </w:pPr>
      <w:r w:rsidRPr="00606A2A">
        <w:rPr>
          <w:rFonts w:ascii="Comic Sans MS" w:hAnsi="Comic Sans MS"/>
          <w:sz w:val="20"/>
          <w:szCs w:val="20"/>
        </w:rPr>
        <w:t>The major components of an IPS are:</w:t>
      </w:r>
    </w:p>
    <w:p w14:paraId="2F81D2AB" w14:textId="5BDA65BB" w:rsidR="003E40FB" w:rsidRPr="00606A2A" w:rsidRDefault="003E40FB" w:rsidP="003E40FB">
      <w:pPr>
        <w:pStyle w:val="ListParagraph"/>
        <w:numPr>
          <w:ilvl w:val="0"/>
          <w:numId w:val="2"/>
        </w:numPr>
        <w:rPr>
          <w:rFonts w:ascii="Comic Sans MS" w:hAnsi="Comic Sans MS"/>
          <w:sz w:val="20"/>
          <w:szCs w:val="20"/>
        </w:rPr>
      </w:pPr>
      <w:r w:rsidRPr="00606A2A">
        <w:rPr>
          <w:rFonts w:ascii="Comic Sans MS" w:hAnsi="Comic Sans MS"/>
          <w:sz w:val="20"/>
          <w:szCs w:val="20"/>
        </w:rPr>
        <w:t>Introduction- Description of client</w:t>
      </w:r>
    </w:p>
    <w:p w14:paraId="647D9FD5" w14:textId="400CB341" w:rsidR="003E40FB" w:rsidRPr="00606A2A" w:rsidRDefault="003E40FB" w:rsidP="003E40FB">
      <w:pPr>
        <w:pStyle w:val="ListParagraph"/>
        <w:numPr>
          <w:ilvl w:val="0"/>
          <w:numId w:val="2"/>
        </w:numPr>
        <w:rPr>
          <w:rFonts w:ascii="Comic Sans MS" w:hAnsi="Comic Sans MS"/>
          <w:sz w:val="20"/>
          <w:szCs w:val="20"/>
        </w:rPr>
      </w:pPr>
      <w:r w:rsidRPr="00606A2A">
        <w:rPr>
          <w:rFonts w:ascii="Comic Sans MS" w:hAnsi="Comic Sans MS"/>
          <w:sz w:val="20"/>
          <w:szCs w:val="20"/>
        </w:rPr>
        <w:t>Statement of Purpose- Purpose of the IPS</w:t>
      </w:r>
    </w:p>
    <w:p w14:paraId="1E54D6E4" w14:textId="77777777" w:rsidR="003E40FB" w:rsidRPr="00606A2A" w:rsidRDefault="003E40FB" w:rsidP="003E40FB">
      <w:pPr>
        <w:pStyle w:val="ListParagraph"/>
        <w:numPr>
          <w:ilvl w:val="0"/>
          <w:numId w:val="2"/>
        </w:numPr>
        <w:rPr>
          <w:rFonts w:ascii="Comic Sans MS" w:hAnsi="Comic Sans MS"/>
          <w:sz w:val="20"/>
          <w:szCs w:val="20"/>
        </w:rPr>
      </w:pPr>
      <w:r w:rsidRPr="00606A2A">
        <w:rPr>
          <w:rFonts w:ascii="Comic Sans MS" w:hAnsi="Comic Sans MS"/>
          <w:sz w:val="20"/>
          <w:szCs w:val="20"/>
        </w:rPr>
        <w:t>Statement of Duties and Responsibilities- Duties and responsibilities of all parties i.e., client, advisor, custodians</w:t>
      </w:r>
    </w:p>
    <w:p w14:paraId="03803692" w14:textId="68BA3E20" w:rsidR="00FF2D7F" w:rsidRPr="00606A2A" w:rsidRDefault="00FF2D7F" w:rsidP="003E40FB">
      <w:pPr>
        <w:pStyle w:val="ListParagraph"/>
        <w:numPr>
          <w:ilvl w:val="0"/>
          <w:numId w:val="2"/>
        </w:numPr>
        <w:rPr>
          <w:rFonts w:ascii="Comic Sans MS" w:hAnsi="Comic Sans MS"/>
          <w:sz w:val="20"/>
          <w:szCs w:val="20"/>
        </w:rPr>
      </w:pPr>
      <w:r w:rsidRPr="00606A2A">
        <w:rPr>
          <w:rFonts w:ascii="Comic Sans MS" w:hAnsi="Comic Sans MS"/>
          <w:sz w:val="20"/>
          <w:szCs w:val="20"/>
        </w:rPr>
        <w:t>Procedures- The steps that will be undertaken to keep the IPS updated and procedures to be followed in the response to various contingencies.</w:t>
      </w:r>
    </w:p>
    <w:p w14:paraId="4245A2E0" w14:textId="764FBA56" w:rsidR="003E40FB" w:rsidRPr="00606A2A" w:rsidRDefault="00FF2D7F" w:rsidP="003E40FB">
      <w:pPr>
        <w:pStyle w:val="ListParagraph"/>
        <w:numPr>
          <w:ilvl w:val="0"/>
          <w:numId w:val="2"/>
        </w:numPr>
        <w:rPr>
          <w:rFonts w:ascii="Comic Sans MS" w:hAnsi="Comic Sans MS"/>
          <w:sz w:val="20"/>
          <w:szCs w:val="20"/>
        </w:rPr>
      </w:pPr>
      <w:r w:rsidRPr="00606A2A">
        <w:rPr>
          <w:rFonts w:ascii="Comic Sans MS" w:hAnsi="Comic Sans MS"/>
          <w:sz w:val="20"/>
          <w:szCs w:val="20"/>
        </w:rPr>
        <w:t>Investment Objectives- The client’s investment objectives</w:t>
      </w:r>
    </w:p>
    <w:p w14:paraId="6BAC6F5F" w14:textId="482D096B" w:rsidR="00FF2D7F" w:rsidRPr="00606A2A" w:rsidRDefault="00FF2D7F" w:rsidP="003E40FB">
      <w:pPr>
        <w:pStyle w:val="ListParagraph"/>
        <w:numPr>
          <w:ilvl w:val="0"/>
          <w:numId w:val="2"/>
        </w:numPr>
        <w:rPr>
          <w:rFonts w:ascii="Comic Sans MS" w:hAnsi="Comic Sans MS"/>
          <w:sz w:val="20"/>
          <w:szCs w:val="20"/>
        </w:rPr>
      </w:pPr>
      <w:r w:rsidRPr="00606A2A">
        <w:rPr>
          <w:rFonts w:ascii="Comic Sans MS" w:hAnsi="Comic Sans MS"/>
          <w:sz w:val="20"/>
          <w:szCs w:val="20"/>
        </w:rPr>
        <w:t>Investment Constraints- The client’s investment constraints</w:t>
      </w:r>
    </w:p>
    <w:p w14:paraId="065F4D2A" w14:textId="43EBC39F" w:rsidR="00FF2D7F" w:rsidRPr="00606A2A" w:rsidRDefault="00FF2D7F" w:rsidP="00FF2D7F">
      <w:pPr>
        <w:pStyle w:val="ListParagraph"/>
        <w:numPr>
          <w:ilvl w:val="0"/>
          <w:numId w:val="1"/>
        </w:numPr>
        <w:rPr>
          <w:rFonts w:ascii="Comic Sans MS" w:hAnsi="Comic Sans MS"/>
          <w:sz w:val="20"/>
          <w:szCs w:val="20"/>
        </w:rPr>
      </w:pPr>
      <w:r w:rsidRPr="00606A2A">
        <w:rPr>
          <w:rFonts w:ascii="Comic Sans MS" w:hAnsi="Comic Sans MS"/>
          <w:sz w:val="20"/>
          <w:szCs w:val="20"/>
          <w:u w:val="single"/>
        </w:rPr>
        <w:t>Liquidity</w:t>
      </w:r>
      <w:r w:rsidRPr="00606A2A">
        <w:rPr>
          <w:rFonts w:ascii="Comic Sans MS" w:hAnsi="Comic Sans MS"/>
          <w:sz w:val="20"/>
          <w:szCs w:val="20"/>
        </w:rPr>
        <w:t>- The IPS should detail the likely withdrawal of funds from the portfolio. For institutions, there could be rules around this, like spending requirements in the case of endowment funds. When a client has a known liquidity requirement, the portfolio manager should allocate a portion of the portfolio to cover this liability by ensuring that the allocated assets can quickly be converted to cash whenever the obligation needs to be met. Allocating to a bond that has a maturity profile which matches the liability time horizon is an often-used strategy.</w:t>
      </w:r>
    </w:p>
    <w:p w14:paraId="46BC7E4F" w14:textId="2693813B" w:rsidR="00FF2D7F" w:rsidRPr="00606A2A" w:rsidRDefault="00FF2D7F" w:rsidP="00FF2D7F">
      <w:pPr>
        <w:pStyle w:val="ListParagraph"/>
        <w:rPr>
          <w:rFonts w:ascii="Comic Sans MS" w:hAnsi="Comic Sans MS"/>
          <w:sz w:val="20"/>
          <w:szCs w:val="20"/>
        </w:rPr>
      </w:pPr>
      <w:r w:rsidRPr="00606A2A">
        <w:rPr>
          <w:rFonts w:ascii="Comic Sans MS" w:hAnsi="Comic Sans MS"/>
          <w:sz w:val="20"/>
          <w:szCs w:val="20"/>
          <w:u w:val="single"/>
        </w:rPr>
        <w:t>Time Horizon</w:t>
      </w:r>
      <w:r w:rsidRPr="00606A2A">
        <w:rPr>
          <w:rFonts w:ascii="Comic Sans MS" w:hAnsi="Comic Sans MS"/>
          <w:sz w:val="20"/>
          <w:szCs w:val="20"/>
        </w:rPr>
        <w:t>- The IPS should state the time horizon over which the client is investing. Illiquid or risky assets may be unsuitable for an investor with a short time horizon as they may not have sufficient time to recover from investment losses.</w:t>
      </w:r>
    </w:p>
    <w:p w14:paraId="03D185BC" w14:textId="24BA1443" w:rsidR="00FF2D7F" w:rsidRPr="00606A2A" w:rsidRDefault="00FF2D7F" w:rsidP="00FF2D7F">
      <w:pPr>
        <w:pStyle w:val="ListParagraph"/>
        <w:rPr>
          <w:rFonts w:ascii="Comic Sans MS" w:hAnsi="Comic Sans MS"/>
          <w:sz w:val="20"/>
          <w:szCs w:val="20"/>
        </w:rPr>
      </w:pPr>
      <w:r w:rsidRPr="00606A2A">
        <w:rPr>
          <w:rFonts w:ascii="Comic Sans MS" w:hAnsi="Comic Sans MS"/>
          <w:sz w:val="20"/>
          <w:szCs w:val="20"/>
          <w:u w:val="single"/>
        </w:rPr>
        <w:t>Tax Concerns</w:t>
      </w:r>
      <w:r w:rsidRPr="00606A2A">
        <w:rPr>
          <w:rFonts w:ascii="Comic Sans MS" w:hAnsi="Comic Sans MS"/>
          <w:sz w:val="20"/>
          <w:szCs w:val="20"/>
        </w:rPr>
        <w:t>- Different investors will have different tax status. The tax status should be stated in the IPS. Often, tax regimes will treat capital gains and income differently. Capital gains may be subject to a lower tax rate payable only when they are realized rather than when they are received. In this instance, there is a time value of money benefit to deferring tax. A taxable investor may, for example, wish to hold a portfolio which emphasizes capital gains over dividend income. A tax-exempt investor, on the other hand, may be relatively indifferent to the two.</w:t>
      </w:r>
    </w:p>
    <w:p w14:paraId="11A81347" w14:textId="7857272F" w:rsidR="00FF2D7F" w:rsidRPr="00606A2A" w:rsidRDefault="00FF2D7F" w:rsidP="00FF2D7F">
      <w:pPr>
        <w:pStyle w:val="ListParagraph"/>
        <w:rPr>
          <w:rFonts w:ascii="Comic Sans MS" w:hAnsi="Comic Sans MS"/>
          <w:sz w:val="20"/>
          <w:szCs w:val="20"/>
        </w:rPr>
      </w:pPr>
      <w:r w:rsidRPr="00606A2A">
        <w:rPr>
          <w:rFonts w:ascii="Comic Sans MS" w:hAnsi="Comic Sans MS"/>
          <w:sz w:val="20"/>
          <w:szCs w:val="20"/>
          <w:u w:val="single"/>
        </w:rPr>
        <w:lastRenderedPageBreak/>
        <w:t>Legal and Regulatory Factors</w:t>
      </w:r>
      <w:r w:rsidRPr="00606A2A">
        <w:rPr>
          <w:rFonts w:ascii="Comic Sans MS" w:hAnsi="Comic Sans MS"/>
          <w:sz w:val="20"/>
          <w:szCs w:val="20"/>
        </w:rPr>
        <w:t>- The IPS should outline any applicable legal or regulatory restrictions. In some countries, pension funds are subject to restrictions on their portfolio composition. In the case of individuals, they may have access to privileged information on a particular listed company by virtue of directorship and as such are restricted from trading on that company ahead of the release of company financial results.</w:t>
      </w:r>
    </w:p>
    <w:p w14:paraId="42873FB8" w14:textId="0EEDDC9A" w:rsidR="00FF2D7F" w:rsidRPr="00606A2A" w:rsidRDefault="00FF2D7F" w:rsidP="00FF2D7F">
      <w:pPr>
        <w:pStyle w:val="ListParagraph"/>
        <w:rPr>
          <w:rFonts w:ascii="Comic Sans MS" w:hAnsi="Comic Sans MS"/>
          <w:sz w:val="20"/>
          <w:szCs w:val="20"/>
        </w:rPr>
      </w:pPr>
      <w:r w:rsidRPr="00606A2A">
        <w:rPr>
          <w:rFonts w:ascii="Comic Sans MS" w:hAnsi="Comic Sans MS"/>
          <w:sz w:val="20"/>
          <w:szCs w:val="20"/>
          <w:u w:val="single"/>
        </w:rPr>
        <w:t>Unique Circumstances</w:t>
      </w:r>
      <w:r w:rsidRPr="00606A2A">
        <w:rPr>
          <w:rFonts w:ascii="Comic Sans MS" w:hAnsi="Comic Sans MS"/>
          <w:sz w:val="20"/>
          <w:szCs w:val="20"/>
        </w:rPr>
        <w:t>- The IPS should also cover any unique circumstances that are applicable. A client may have religious or ethical objections to investing in particular stocks or sectors. These types of considerations are often referred to as ESG (environment, social, governance) factors and investing in accordance with ESG factors is referred to as SRI (socially responsible investing).</w:t>
      </w:r>
    </w:p>
    <w:p w14:paraId="5634B571" w14:textId="19E385F5" w:rsidR="00FF2D7F" w:rsidRPr="00606A2A" w:rsidRDefault="00833875" w:rsidP="00FF2D7F">
      <w:pPr>
        <w:pStyle w:val="ListParagraph"/>
        <w:numPr>
          <w:ilvl w:val="0"/>
          <w:numId w:val="1"/>
        </w:numPr>
        <w:rPr>
          <w:rFonts w:ascii="Comic Sans MS" w:hAnsi="Comic Sans MS"/>
          <w:sz w:val="20"/>
          <w:szCs w:val="20"/>
        </w:rPr>
      </w:pPr>
      <w:r w:rsidRPr="00606A2A">
        <w:rPr>
          <w:rFonts w:ascii="Comic Sans MS" w:hAnsi="Comic Sans MS"/>
          <w:sz w:val="20"/>
          <w:szCs w:val="20"/>
        </w:rPr>
        <w:t>Environmental, social and governance factors are collectively referred to by the acronym “ESG”. ESG integration is the practice of considering environmental, social, and governance factors in the investment process. The integration can be implemented across all asset classes, including equities, fixed income, and alternative investments. ESG issues can be sub-divided into 3 main groups:</w:t>
      </w:r>
    </w:p>
    <w:p w14:paraId="4A3E58B5" w14:textId="77777777" w:rsidR="00833875" w:rsidRPr="00606A2A" w:rsidRDefault="00833875" w:rsidP="00833875">
      <w:pPr>
        <w:pStyle w:val="ListParagraph"/>
        <w:numPr>
          <w:ilvl w:val="0"/>
          <w:numId w:val="3"/>
        </w:numPr>
        <w:rPr>
          <w:rFonts w:ascii="Comic Sans MS" w:hAnsi="Comic Sans MS"/>
          <w:sz w:val="20"/>
          <w:szCs w:val="20"/>
        </w:rPr>
      </w:pPr>
      <w:r w:rsidRPr="00606A2A">
        <w:rPr>
          <w:rFonts w:ascii="Comic Sans MS" w:hAnsi="Comic Sans MS"/>
          <w:sz w:val="20"/>
          <w:szCs w:val="20"/>
        </w:rPr>
        <w:t>environmental issues: climate change, pollution, deforestation, etc.</w:t>
      </w:r>
    </w:p>
    <w:p w14:paraId="54DDE275" w14:textId="37D6B1D7" w:rsidR="00833875" w:rsidRPr="00606A2A" w:rsidRDefault="00833875" w:rsidP="00833875">
      <w:pPr>
        <w:pStyle w:val="ListParagraph"/>
        <w:numPr>
          <w:ilvl w:val="0"/>
          <w:numId w:val="3"/>
        </w:numPr>
        <w:rPr>
          <w:rFonts w:ascii="Comic Sans MS" w:hAnsi="Comic Sans MS"/>
          <w:sz w:val="20"/>
          <w:szCs w:val="20"/>
        </w:rPr>
      </w:pPr>
      <w:r w:rsidRPr="00606A2A">
        <w:rPr>
          <w:rFonts w:ascii="Comic Sans MS" w:hAnsi="Comic Sans MS"/>
          <w:sz w:val="20"/>
          <w:szCs w:val="20"/>
        </w:rPr>
        <w:t>social issues: customer satisfaction, gender and diversity, labour standards, etc.</w:t>
      </w:r>
    </w:p>
    <w:p w14:paraId="103D93A5" w14:textId="0493D4D6" w:rsidR="00833875" w:rsidRPr="00606A2A" w:rsidRDefault="00833875" w:rsidP="00833875">
      <w:pPr>
        <w:pStyle w:val="ListParagraph"/>
        <w:numPr>
          <w:ilvl w:val="0"/>
          <w:numId w:val="3"/>
        </w:numPr>
        <w:rPr>
          <w:rFonts w:ascii="Comic Sans MS" w:hAnsi="Comic Sans MS"/>
          <w:sz w:val="20"/>
          <w:szCs w:val="20"/>
        </w:rPr>
      </w:pPr>
      <w:r w:rsidRPr="00606A2A">
        <w:rPr>
          <w:rFonts w:ascii="Comic Sans MS" w:hAnsi="Comic Sans MS"/>
          <w:sz w:val="20"/>
          <w:szCs w:val="20"/>
        </w:rPr>
        <w:t>governance issues: bribery and corruption, executive compensation, lobbying, etc.</w:t>
      </w:r>
    </w:p>
    <w:p w14:paraId="3658BB48" w14:textId="57479535" w:rsidR="00833875" w:rsidRPr="00606A2A" w:rsidRDefault="00833875" w:rsidP="00833875">
      <w:pPr>
        <w:ind w:left="1080"/>
        <w:rPr>
          <w:rFonts w:ascii="Comic Sans MS" w:hAnsi="Comic Sans MS"/>
          <w:sz w:val="20"/>
          <w:szCs w:val="20"/>
        </w:rPr>
      </w:pPr>
      <w:r w:rsidRPr="00606A2A">
        <w:rPr>
          <w:rFonts w:ascii="Comic Sans MS" w:hAnsi="Comic Sans MS"/>
          <w:sz w:val="20"/>
          <w:szCs w:val="20"/>
        </w:rPr>
        <w:t>Investors may exclude or engage with companies with strict consideration of these issues. Alternatively, investors may ask their asset managers to consider these issues in the investment process. For example, an investor might not want to buy polled-investment vehicles that own oil &amp; gas and/or military equipment stocks.</w:t>
      </w:r>
    </w:p>
    <w:p w14:paraId="703405F1" w14:textId="0E1952DB" w:rsidR="00833875" w:rsidRPr="00606A2A" w:rsidRDefault="00A01C62" w:rsidP="00A01C62">
      <w:pPr>
        <w:pStyle w:val="ListParagraph"/>
        <w:numPr>
          <w:ilvl w:val="0"/>
          <w:numId w:val="5"/>
        </w:numPr>
        <w:rPr>
          <w:rFonts w:ascii="Comic Sans MS" w:hAnsi="Comic Sans MS"/>
          <w:sz w:val="20"/>
          <w:szCs w:val="20"/>
        </w:rPr>
      </w:pPr>
      <w:r w:rsidRPr="00606A2A">
        <w:rPr>
          <w:rFonts w:ascii="Comic Sans MS" w:hAnsi="Comic Sans MS"/>
          <w:sz w:val="20"/>
          <w:szCs w:val="20"/>
          <w:u w:val="single"/>
        </w:rPr>
        <w:t>Defined Contribution Pension Plan</w:t>
      </w:r>
      <w:r w:rsidRPr="00606A2A">
        <w:rPr>
          <w:rFonts w:ascii="Comic Sans MS" w:hAnsi="Comic Sans MS"/>
          <w:sz w:val="20"/>
          <w:szCs w:val="20"/>
        </w:rPr>
        <w:t>- A DC pension plan is an investment vehicle in which the amounts invested, or the contributions that the employee makes to the plan are defined or specified but the benefits are not. The objective of the pension plan is to accumulate wealth by investing a portion of wages while working in order to provide income during retirement. Since the benefits of a DC plan are not defined, the employee assumes the investment risk and needs to ensure the contributions and investment growth are sufficient to provide the required income upon retirement.</w:t>
      </w:r>
    </w:p>
    <w:p w14:paraId="11E7E107" w14:textId="0883DD59" w:rsidR="00A01C62" w:rsidRPr="00606A2A" w:rsidRDefault="00A01C62" w:rsidP="00A01C62">
      <w:pPr>
        <w:pStyle w:val="ListParagraph"/>
        <w:rPr>
          <w:rFonts w:ascii="Comic Sans MS" w:hAnsi="Comic Sans MS"/>
          <w:sz w:val="20"/>
          <w:szCs w:val="20"/>
        </w:rPr>
      </w:pPr>
      <w:r w:rsidRPr="00606A2A">
        <w:rPr>
          <w:rFonts w:ascii="Comic Sans MS" w:hAnsi="Comic Sans MS"/>
          <w:sz w:val="20"/>
          <w:szCs w:val="20"/>
        </w:rPr>
        <w:t>Defined Benefit Pension Plan- In a DB pension plan, the employer has an obligation to provide certain benefits to employees when they retire. The future benefit is specified or defined. The investment management of DB plans has to take the timing of its future liabilities or cash flows into consideration by assessing the age of its plan members. If, for example, a DB pension plan has a lot of young members, the investment time horizon of the plan may be quite long. The plan investment manager may try to match the cash flow requirements of the plan with cash-flow producing assets such as bonds. This checks the capacity of portfolio assets to offset portfolio liabilities.</w:t>
      </w:r>
    </w:p>
    <w:p w14:paraId="45CF58BA" w14:textId="77777777" w:rsidR="00A01C62" w:rsidRPr="00606A2A" w:rsidRDefault="00A01C62" w:rsidP="00A01C62">
      <w:pPr>
        <w:pStyle w:val="ListParagraph"/>
        <w:rPr>
          <w:rFonts w:ascii="Comic Sans MS" w:hAnsi="Comic Sans MS"/>
          <w:sz w:val="20"/>
          <w:szCs w:val="20"/>
        </w:rPr>
      </w:pPr>
    </w:p>
    <w:p w14:paraId="3B50FD34" w14:textId="247A4996" w:rsidR="00D73A9C" w:rsidRPr="00606A2A" w:rsidRDefault="00A01C62" w:rsidP="003E40FB">
      <w:pPr>
        <w:pStyle w:val="ListParagraph"/>
        <w:rPr>
          <w:rFonts w:ascii="Comic Sans MS" w:hAnsi="Comic Sans MS"/>
          <w:sz w:val="20"/>
          <w:szCs w:val="20"/>
        </w:rPr>
      </w:pPr>
      <w:r w:rsidRPr="00606A2A">
        <w:rPr>
          <w:rFonts w:ascii="Comic Sans MS" w:hAnsi="Comic Sans MS"/>
          <w:sz w:val="20"/>
          <w:szCs w:val="20"/>
        </w:rPr>
        <w:t>Unit 4</w:t>
      </w:r>
    </w:p>
    <w:p w14:paraId="0265D6DD" w14:textId="36CD38B6" w:rsidR="00A01C62" w:rsidRPr="00606A2A" w:rsidRDefault="002E26D9" w:rsidP="00A01C62">
      <w:pPr>
        <w:pStyle w:val="ListParagraph"/>
        <w:numPr>
          <w:ilvl w:val="0"/>
          <w:numId w:val="6"/>
        </w:numPr>
        <w:rPr>
          <w:rFonts w:ascii="Comic Sans MS" w:hAnsi="Comic Sans MS"/>
          <w:sz w:val="20"/>
          <w:szCs w:val="20"/>
        </w:rPr>
      </w:pPr>
      <w:r w:rsidRPr="00606A2A">
        <w:rPr>
          <w:rFonts w:ascii="Comic Sans MS" w:hAnsi="Comic Sans MS"/>
          <w:sz w:val="20"/>
          <w:szCs w:val="20"/>
        </w:rPr>
        <w:t>the sensitivity of their earnings to the business cycle.</w:t>
      </w:r>
    </w:p>
    <w:p w14:paraId="7A057CD3" w14:textId="6BA5BE4A" w:rsidR="002E26D9"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d</w:t>
      </w:r>
      <w:r w:rsidR="002E26D9" w:rsidRPr="00606A2A">
        <w:rPr>
          <w:rFonts w:ascii="Comic Sans MS" w:hAnsi="Comic Sans MS"/>
          <w:sz w:val="20"/>
          <w:szCs w:val="20"/>
        </w:rPr>
        <w:t xml:space="preserve">erive their revenue </w:t>
      </w:r>
      <w:r w:rsidRPr="00606A2A">
        <w:rPr>
          <w:rFonts w:ascii="Comic Sans MS" w:hAnsi="Comic Sans MS"/>
          <w:sz w:val="20"/>
          <w:szCs w:val="20"/>
        </w:rPr>
        <w:t>and earnings from similar business activities.</w:t>
      </w:r>
    </w:p>
    <w:p w14:paraId="5081FFCA" w14:textId="7C9F3242"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output</w:t>
      </w:r>
    </w:p>
    <w:p w14:paraId="692CA44F" w14:textId="5955A004"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Market correlations</w:t>
      </w:r>
    </w:p>
    <w:p w14:paraId="44E8B143" w14:textId="2C8CF9E3"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power of suppliers and threat of substitutes</w:t>
      </w:r>
    </w:p>
    <w:p w14:paraId="375B5374" w14:textId="772C198A"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lastRenderedPageBreak/>
        <w:t>market concentration.</w:t>
      </w:r>
    </w:p>
    <w:p w14:paraId="71DCCA4D" w14:textId="25E009FE"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decreases pricing power and greater ease of exit increases pricing power.</w:t>
      </w:r>
    </w:p>
    <w:p w14:paraId="1EEC29B8" w14:textId="2CDE7580"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Shakeout</w:t>
      </w:r>
    </w:p>
    <w:p w14:paraId="6D4E6C7D" w14:textId="71951FB6" w:rsidR="006F1576" w:rsidRPr="00606A2A" w:rsidRDefault="006F1576" w:rsidP="00A01C62">
      <w:pPr>
        <w:pStyle w:val="ListParagraph"/>
        <w:numPr>
          <w:ilvl w:val="0"/>
          <w:numId w:val="6"/>
        </w:numPr>
        <w:rPr>
          <w:rFonts w:ascii="Comic Sans MS" w:hAnsi="Comic Sans MS"/>
          <w:sz w:val="20"/>
          <w:szCs w:val="20"/>
        </w:rPr>
      </w:pPr>
      <w:r w:rsidRPr="00606A2A">
        <w:rPr>
          <w:rFonts w:ascii="Comic Sans MS" w:hAnsi="Comic Sans MS"/>
          <w:sz w:val="20"/>
          <w:szCs w:val="20"/>
        </w:rPr>
        <w:t xml:space="preserve">An energy </w:t>
      </w:r>
      <w:r w:rsidR="00647817" w:rsidRPr="00606A2A">
        <w:rPr>
          <w:rFonts w:ascii="Comic Sans MS" w:hAnsi="Comic Sans MS"/>
          <w:sz w:val="20"/>
          <w:szCs w:val="20"/>
        </w:rPr>
        <w:t>exploration firm in financial distress that owns drilling rights for offshore areas</w:t>
      </w:r>
    </w:p>
    <w:p w14:paraId="00EE6FD9" w14:textId="16F87B9A" w:rsidR="00647817" w:rsidRPr="00606A2A" w:rsidRDefault="00647817" w:rsidP="00A01C62">
      <w:pPr>
        <w:pStyle w:val="ListParagraph"/>
        <w:numPr>
          <w:ilvl w:val="0"/>
          <w:numId w:val="6"/>
        </w:numPr>
        <w:rPr>
          <w:rFonts w:ascii="Comic Sans MS" w:hAnsi="Comic Sans MS"/>
          <w:sz w:val="20"/>
          <w:szCs w:val="20"/>
        </w:rPr>
      </w:pPr>
      <w:r w:rsidRPr="00606A2A">
        <w:rPr>
          <w:rFonts w:ascii="Comic Sans MS" w:hAnsi="Comic Sans MS"/>
          <w:sz w:val="20"/>
          <w:szCs w:val="20"/>
        </w:rPr>
        <w:t>Price multiple models.</w:t>
      </w:r>
    </w:p>
    <w:p w14:paraId="55AA925E" w14:textId="4ECE2623" w:rsidR="00647817" w:rsidRPr="00606A2A" w:rsidRDefault="00647817" w:rsidP="00A01C62">
      <w:pPr>
        <w:pStyle w:val="ListParagraph"/>
        <w:numPr>
          <w:ilvl w:val="0"/>
          <w:numId w:val="6"/>
        </w:numPr>
        <w:rPr>
          <w:rFonts w:ascii="Comic Sans MS" w:hAnsi="Comic Sans MS"/>
          <w:sz w:val="20"/>
          <w:szCs w:val="20"/>
        </w:rPr>
      </w:pPr>
      <w:r w:rsidRPr="00606A2A">
        <w:rPr>
          <w:rFonts w:ascii="Comic Sans MS" w:hAnsi="Comic Sans MS"/>
          <w:sz w:val="20"/>
          <w:szCs w:val="20"/>
        </w:rPr>
        <w:t>Michael Porter 5 forces that determine industry competition are:</w:t>
      </w:r>
    </w:p>
    <w:p w14:paraId="3301E63F" w14:textId="2FF49DAB" w:rsidR="00647817" w:rsidRPr="00606A2A" w:rsidRDefault="00647817" w:rsidP="00647817">
      <w:pPr>
        <w:pStyle w:val="ListParagraph"/>
        <w:numPr>
          <w:ilvl w:val="0"/>
          <w:numId w:val="7"/>
        </w:numPr>
        <w:rPr>
          <w:rFonts w:ascii="Comic Sans MS" w:hAnsi="Comic Sans MS"/>
          <w:sz w:val="20"/>
          <w:szCs w:val="20"/>
        </w:rPr>
      </w:pPr>
      <w:r w:rsidRPr="00606A2A">
        <w:rPr>
          <w:rFonts w:ascii="Comic Sans MS" w:hAnsi="Comic Sans MS"/>
          <w:sz w:val="20"/>
          <w:szCs w:val="20"/>
          <w:u w:val="single"/>
        </w:rPr>
        <w:t>Competition in the Industry</w:t>
      </w:r>
      <w:r w:rsidRPr="00606A2A">
        <w:rPr>
          <w:rFonts w:ascii="Comic Sans MS" w:hAnsi="Comic Sans MS"/>
          <w:sz w:val="20"/>
          <w:szCs w:val="20"/>
        </w:rPr>
        <w:t>- The first of the five forces refer to the number of competitors and their ability to undercut a company. The larger the number of competitors, along with the number of equivalent products and services they offer, the lesser the power of a company. Suppliers and buyers seek out a company's competition if they are able to offer a better deal or lower prices. Conversely, when competitive rivalry is low, a company has greater power to charge higher prices and set the terms of deals to achieve higher sales and profits.</w:t>
      </w:r>
    </w:p>
    <w:p w14:paraId="0559A483" w14:textId="56DA6644" w:rsidR="00647817" w:rsidRPr="00606A2A" w:rsidRDefault="00647817" w:rsidP="00647817">
      <w:pPr>
        <w:pStyle w:val="ListParagraph"/>
        <w:numPr>
          <w:ilvl w:val="0"/>
          <w:numId w:val="7"/>
        </w:numPr>
        <w:rPr>
          <w:rFonts w:ascii="Comic Sans MS" w:hAnsi="Comic Sans MS"/>
          <w:sz w:val="20"/>
          <w:szCs w:val="20"/>
        </w:rPr>
      </w:pPr>
      <w:r w:rsidRPr="00606A2A">
        <w:rPr>
          <w:rFonts w:ascii="Comic Sans MS" w:hAnsi="Comic Sans MS"/>
          <w:sz w:val="20"/>
          <w:szCs w:val="20"/>
          <w:u w:val="single"/>
        </w:rPr>
        <w:t>Potential of New Entrants into an Industry</w:t>
      </w:r>
      <w:r w:rsidRPr="00606A2A">
        <w:rPr>
          <w:rFonts w:ascii="Comic Sans MS" w:hAnsi="Comic Sans MS"/>
          <w:sz w:val="20"/>
          <w:szCs w:val="20"/>
        </w:rPr>
        <w:t>- A company's power is also affected by the force of new entrants into its market. The less time and money it cost for a competitor to enter a company's market and be an effective competitor, the more an established company's position could be significantly weakened. An industry with strong barriers to entry is ideal for existing companies within that industry since the company would be able to charge higher prices and negotiate better terms.</w:t>
      </w:r>
    </w:p>
    <w:p w14:paraId="7D82F21C" w14:textId="77777777" w:rsidR="00647817" w:rsidRPr="00606A2A" w:rsidRDefault="00647817" w:rsidP="00647817">
      <w:pPr>
        <w:pStyle w:val="ListParagraph"/>
        <w:numPr>
          <w:ilvl w:val="0"/>
          <w:numId w:val="7"/>
        </w:numPr>
        <w:rPr>
          <w:rFonts w:ascii="Comic Sans MS" w:hAnsi="Comic Sans MS"/>
          <w:sz w:val="20"/>
          <w:szCs w:val="20"/>
        </w:rPr>
      </w:pPr>
      <w:r w:rsidRPr="00606A2A">
        <w:rPr>
          <w:rFonts w:ascii="Comic Sans MS" w:hAnsi="Comic Sans MS"/>
          <w:sz w:val="20"/>
          <w:szCs w:val="20"/>
          <w:u w:val="single"/>
        </w:rPr>
        <w:t>Power of Suppliers</w:t>
      </w:r>
      <w:r w:rsidRPr="00606A2A">
        <w:rPr>
          <w:rFonts w:ascii="Comic Sans MS" w:hAnsi="Comic Sans MS"/>
          <w:sz w:val="20"/>
          <w:szCs w:val="20"/>
        </w:rPr>
        <w:t xml:space="preserve">- The next factor in the five forces model addresses how easily suppliers can drive up the cost of inputs. It is affected by the number of suppliers of key inputs of a good or service, how unique these inputs are, and how much it would cost a company to switch to another supplier. The fewer suppliers to an industry, the more a company would depend on a supplier. As a result, the supplier has more power and can drive up input costs and push for other advantages in trade. On the other hand, when there are many suppliers or low switching costs between rival suppliers, a company can keep its input costs lower and enhance its profits. </w:t>
      </w:r>
    </w:p>
    <w:p w14:paraId="13922835" w14:textId="3F6C0150" w:rsidR="00647817" w:rsidRPr="00606A2A" w:rsidRDefault="00647817" w:rsidP="00647817">
      <w:pPr>
        <w:pStyle w:val="ListParagraph"/>
        <w:numPr>
          <w:ilvl w:val="0"/>
          <w:numId w:val="7"/>
        </w:numPr>
        <w:rPr>
          <w:rFonts w:ascii="Comic Sans MS" w:hAnsi="Comic Sans MS"/>
          <w:sz w:val="20"/>
          <w:szCs w:val="20"/>
        </w:rPr>
      </w:pPr>
      <w:r w:rsidRPr="00606A2A">
        <w:rPr>
          <w:rFonts w:ascii="Comic Sans MS" w:hAnsi="Comic Sans MS"/>
          <w:sz w:val="20"/>
          <w:szCs w:val="20"/>
          <w:u w:val="single"/>
        </w:rPr>
        <w:t>Power of Customers</w:t>
      </w:r>
      <w:r w:rsidRPr="00606A2A">
        <w:rPr>
          <w:rFonts w:ascii="Comic Sans MS" w:hAnsi="Comic Sans MS"/>
          <w:sz w:val="20"/>
          <w:szCs w:val="20"/>
        </w:rPr>
        <w:t>- The ability that customers have to drive prices lower or their level of power is one of the five forces. It is affected by how many buyers or customers a company has, how significant each customer is, and how much it would cost a company to find new customers or markets for its output. A smaller and more powerful client base means that each customer has more power to negotiate for lower prices and better deals. A company that has many, smaller, independent customers will have an easier time charging higher prices to increase profitability.</w:t>
      </w:r>
    </w:p>
    <w:p w14:paraId="2D7B2C69" w14:textId="2F966AC2" w:rsidR="00647817" w:rsidRPr="00606A2A" w:rsidRDefault="00647817" w:rsidP="00647817">
      <w:pPr>
        <w:pStyle w:val="ListParagraph"/>
        <w:numPr>
          <w:ilvl w:val="0"/>
          <w:numId w:val="7"/>
        </w:numPr>
        <w:rPr>
          <w:rFonts w:ascii="Comic Sans MS" w:hAnsi="Comic Sans MS"/>
          <w:sz w:val="20"/>
          <w:szCs w:val="20"/>
        </w:rPr>
      </w:pPr>
      <w:r w:rsidRPr="00606A2A">
        <w:rPr>
          <w:rFonts w:ascii="Comic Sans MS" w:hAnsi="Comic Sans MS"/>
          <w:sz w:val="20"/>
          <w:szCs w:val="20"/>
          <w:u w:val="single"/>
        </w:rPr>
        <w:t>Threat of Substitutes</w:t>
      </w:r>
      <w:r w:rsidRPr="00606A2A">
        <w:rPr>
          <w:rFonts w:ascii="Comic Sans MS" w:hAnsi="Comic Sans MS"/>
          <w:sz w:val="20"/>
          <w:szCs w:val="20"/>
        </w:rPr>
        <w:t xml:space="preserve">- The last of the five forces focuses on substitutes. Substitute goods or services that can be used in place of a company's products or services pose a threat. Companies that produce goods or services for which there are no close substitutes will have more power to increase prices and lock in favourable terms. When close </w:t>
      </w:r>
      <w:r w:rsidRPr="00606A2A">
        <w:rPr>
          <w:rFonts w:ascii="Comic Sans MS" w:hAnsi="Comic Sans MS"/>
          <w:sz w:val="20"/>
          <w:szCs w:val="20"/>
        </w:rPr>
        <w:lastRenderedPageBreak/>
        <w:t>substitutes are available, customers will have the option to forgo buying a company's product, and a company's power can be weakened.</w:t>
      </w:r>
    </w:p>
    <w:p w14:paraId="388A6613" w14:textId="274EEC08" w:rsidR="00647817" w:rsidRPr="00606A2A" w:rsidRDefault="00647817" w:rsidP="00647817">
      <w:pPr>
        <w:pStyle w:val="ListParagraph"/>
        <w:numPr>
          <w:ilvl w:val="0"/>
          <w:numId w:val="6"/>
        </w:numPr>
        <w:rPr>
          <w:rFonts w:ascii="Comic Sans MS" w:hAnsi="Comic Sans MS"/>
          <w:sz w:val="20"/>
          <w:szCs w:val="20"/>
        </w:rPr>
      </w:pPr>
      <w:r w:rsidRPr="00606A2A">
        <w:rPr>
          <w:rFonts w:ascii="Comic Sans MS" w:hAnsi="Comic Sans MS"/>
          <w:sz w:val="20"/>
          <w:szCs w:val="20"/>
          <w:u w:val="single"/>
        </w:rPr>
        <w:t>Macroeconomic Influences</w:t>
      </w:r>
      <w:r w:rsidRPr="00606A2A">
        <w:rPr>
          <w:rFonts w:ascii="Comic Sans MS" w:hAnsi="Comic Sans MS"/>
          <w:sz w:val="20"/>
          <w:szCs w:val="20"/>
        </w:rPr>
        <w:t>- Cyclical or structural trends may have significant effects on the demand for an industry’s products or services. An industry’s sales and profitability may be impacted by gross domestic product, interest rates, credit availability, and/or inflation.</w:t>
      </w:r>
    </w:p>
    <w:p w14:paraId="19C1B08C" w14:textId="29C6FCE7" w:rsidR="00647817" w:rsidRPr="00606A2A" w:rsidRDefault="00647817" w:rsidP="00647817">
      <w:pPr>
        <w:pStyle w:val="ListParagraph"/>
        <w:ind w:left="1440"/>
        <w:rPr>
          <w:rFonts w:ascii="Comic Sans MS" w:hAnsi="Comic Sans MS"/>
          <w:sz w:val="20"/>
          <w:szCs w:val="20"/>
        </w:rPr>
      </w:pPr>
      <w:r w:rsidRPr="00606A2A">
        <w:rPr>
          <w:rFonts w:ascii="Comic Sans MS" w:hAnsi="Comic Sans MS"/>
          <w:sz w:val="20"/>
          <w:szCs w:val="20"/>
          <w:u w:val="single"/>
        </w:rPr>
        <w:t>Technological Influences</w:t>
      </w:r>
      <w:r w:rsidRPr="00606A2A">
        <w:rPr>
          <w:rFonts w:ascii="Comic Sans MS" w:hAnsi="Comic Sans MS"/>
          <w:sz w:val="20"/>
          <w:szCs w:val="20"/>
        </w:rPr>
        <w:t>- New technologies create new or improved products that can radically change an industry and change how other industries use the products to conduct their operations.</w:t>
      </w:r>
    </w:p>
    <w:p w14:paraId="51E1063B" w14:textId="6FA76976" w:rsidR="00647817" w:rsidRPr="00606A2A" w:rsidRDefault="00647817" w:rsidP="00647817">
      <w:pPr>
        <w:pStyle w:val="ListParagraph"/>
        <w:ind w:left="1440"/>
        <w:rPr>
          <w:rFonts w:ascii="Comic Sans MS" w:hAnsi="Comic Sans MS"/>
          <w:sz w:val="20"/>
          <w:szCs w:val="20"/>
        </w:rPr>
      </w:pPr>
      <w:r w:rsidRPr="00606A2A">
        <w:rPr>
          <w:rFonts w:ascii="Comic Sans MS" w:hAnsi="Comic Sans MS"/>
          <w:sz w:val="20"/>
          <w:szCs w:val="20"/>
          <w:u w:val="single"/>
        </w:rPr>
        <w:t>Demographic Influences</w:t>
      </w:r>
      <w:r w:rsidRPr="00606A2A">
        <w:rPr>
          <w:rFonts w:ascii="Comic Sans MS" w:hAnsi="Comic Sans MS"/>
          <w:sz w:val="20"/>
          <w:szCs w:val="20"/>
        </w:rPr>
        <w:t>- Changes in population size, the distribution of age and gender, and other demographic characteristics may have significant effects on economic growth and the amount and types of goods and services consumed.</w:t>
      </w:r>
    </w:p>
    <w:p w14:paraId="0485CBE8" w14:textId="2FD076FA" w:rsidR="00647817" w:rsidRPr="00606A2A" w:rsidRDefault="00647817" w:rsidP="00647817">
      <w:pPr>
        <w:pStyle w:val="ListParagraph"/>
        <w:ind w:left="1440"/>
        <w:rPr>
          <w:rFonts w:ascii="Comic Sans MS" w:hAnsi="Comic Sans MS"/>
          <w:sz w:val="20"/>
          <w:szCs w:val="20"/>
        </w:rPr>
      </w:pPr>
      <w:r w:rsidRPr="00606A2A">
        <w:rPr>
          <w:rFonts w:ascii="Comic Sans MS" w:hAnsi="Comic Sans MS"/>
          <w:sz w:val="20"/>
          <w:szCs w:val="20"/>
          <w:u w:val="single"/>
        </w:rPr>
        <w:t>Governmental Influences</w:t>
      </w:r>
      <w:r w:rsidRPr="00606A2A">
        <w:rPr>
          <w:rFonts w:ascii="Comic Sans MS" w:hAnsi="Comic Sans MS"/>
          <w:sz w:val="20"/>
          <w:szCs w:val="20"/>
        </w:rPr>
        <w:t>- 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6B712FA2" w14:textId="03428D76" w:rsidR="00647817" w:rsidRPr="00606A2A" w:rsidRDefault="00647817" w:rsidP="00647817">
      <w:pPr>
        <w:pStyle w:val="ListParagraph"/>
        <w:ind w:left="1440"/>
        <w:rPr>
          <w:rFonts w:ascii="Comic Sans MS" w:hAnsi="Comic Sans MS"/>
          <w:sz w:val="20"/>
          <w:szCs w:val="20"/>
        </w:rPr>
      </w:pPr>
      <w:r w:rsidRPr="00606A2A">
        <w:rPr>
          <w:rFonts w:ascii="Comic Sans MS" w:hAnsi="Comic Sans MS"/>
          <w:sz w:val="20"/>
          <w:szCs w:val="20"/>
          <w:u w:val="single"/>
        </w:rPr>
        <w:t>Social Influences</w:t>
      </w:r>
      <w:r w:rsidRPr="00606A2A">
        <w:rPr>
          <w:rFonts w:ascii="Comic Sans MS" w:hAnsi="Comic Sans MS"/>
          <w:sz w:val="20"/>
          <w:szCs w:val="20"/>
        </w:rPr>
        <w:t>- Societal changes involving how people work, spend their money, enjoy their leisure time, and conduct other aspects of their lives can significantly affect the sales of various industries.</w:t>
      </w:r>
    </w:p>
    <w:p w14:paraId="2B39938D" w14:textId="1223FE90" w:rsidR="00647817" w:rsidRPr="00606A2A" w:rsidRDefault="00A37BF5" w:rsidP="00A37BF5">
      <w:pPr>
        <w:pStyle w:val="ListParagraph"/>
        <w:numPr>
          <w:ilvl w:val="0"/>
          <w:numId w:val="6"/>
        </w:numPr>
        <w:rPr>
          <w:rFonts w:ascii="Comic Sans MS" w:hAnsi="Comic Sans MS"/>
          <w:sz w:val="20"/>
          <w:szCs w:val="20"/>
        </w:rPr>
      </w:pPr>
      <w:r w:rsidRPr="00606A2A">
        <w:rPr>
          <w:rFonts w:ascii="Comic Sans MS" w:hAnsi="Comic Sans MS"/>
          <w:sz w:val="20"/>
          <w:szCs w:val="20"/>
          <w:u w:val="single"/>
        </w:rPr>
        <w:t>Stock splits</w:t>
      </w:r>
      <w:r w:rsidRPr="00606A2A">
        <w:rPr>
          <w:rFonts w:ascii="Comic Sans MS" w:hAnsi="Comic Sans MS"/>
          <w:sz w:val="20"/>
          <w:szCs w:val="20"/>
        </w:rPr>
        <w:t>- In a stock split, a company gives its shareholders X number of shares for every Y number of shares that are owned. For example, in a two-for-one stock split, shareholders receive one additional share for every share previously owned. Thus, if a company had 20 million shares outstanding before the stock split, it will have 40 million shares outstanding after a 2-for-1 stock split.</w:t>
      </w:r>
    </w:p>
    <w:p w14:paraId="09E99A28" w14:textId="06730162" w:rsidR="00A37BF5" w:rsidRPr="00606A2A" w:rsidRDefault="00A37BF5" w:rsidP="00A37BF5">
      <w:pPr>
        <w:pStyle w:val="ListParagraph"/>
        <w:ind w:left="1440"/>
        <w:rPr>
          <w:rFonts w:ascii="Comic Sans MS" w:hAnsi="Comic Sans MS"/>
          <w:sz w:val="20"/>
          <w:szCs w:val="20"/>
        </w:rPr>
      </w:pPr>
      <w:r w:rsidRPr="00606A2A">
        <w:rPr>
          <w:rFonts w:ascii="Comic Sans MS" w:hAnsi="Comic Sans MS"/>
          <w:sz w:val="20"/>
          <w:szCs w:val="20"/>
          <w:u w:val="single"/>
        </w:rPr>
        <w:t>Reverse stock splits</w:t>
      </w:r>
      <w:r w:rsidRPr="00606A2A">
        <w:rPr>
          <w:rFonts w:ascii="Comic Sans MS" w:hAnsi="Comic Sans MS"/>
          <w:sz w:val="20"/>
          <w:szCs w:val="20"/>
        </w:rPr>
        <w:t>- A reverse stock split is the opposite of a stock split. In a reverse stock split, a company reduces the number of shares outstanding by a set multiple. For example, if a company announces a 1-for-4 reverse stock split, shareholders will receive 1 share for every 4 they own. Thus, an investor with 10,000 old shares will end up with just 2,500 new shares.</w:t>
      </w:r>
    </w:p>
    <w:p w14:paraId="0508C82C" w14:textId="3010E736" w:rsidR="00A37BF5" w:rsidRPr="00606A2A" w:rsidRDefault="00A37BF5" w:rsidP="00A37BF5">
      <w:pPr>
        <w:pStyle w:val="ListParagraph"/>
        <w:ind w:left="1440"/>
        <w:rPr>
          <w:rFonts w:ascii="Comic Sans MS" w:hAnsi="Comic Sans MS"/>
          <w:sz w:val="20"/>
          <w:szCs w:val="20"/>
        </w:rPr>
      </w:pPr>
      <w:r w:rsidRPr="00606A2A">
        <w:rPr>
          <w:rFonts w:ascii="Comic Sans MS" w:hAnsi="Comic Sans MS"/>
          <w:sz w:val="20"/>
          <w:szCs w:val="20"/>
          <w:u w:val="single"/>
        </w:rPr>
        <w:t>Share repurchases</w:t>
      </w:r>
      <w:r w:rsidRPr="00606A2A">
        <w:rPr>
          <w:rFonts w:ascii="Comic Sans MS" w:hAnsi="Comic Sans MS"/>
          <w:sz w:val="20"/>
          <w:szCs w:val="20"/>
        </w:rPr>
        <w:t>- In a share repurchase, the company uses cash to buy back its own shares. Once repurchased, the shares do not participate in subsequent voting or dividend issues. The shares are also not considered when computing the earnings per share.</w:t>
      </w:r>
    </w:p>
    <w:p w14:paraId="1382C36F" w14:textId="4DFA8EED" w:rsidR="00A37BF5" w:rsidRPr="00606A2A" w:rsidRDefault="00A37BF5" w:rsidP="00A37BF5">
      <w:pPr>
        <w:pStyle w:val="ListParagraph"/>
        <w:ind w:left="1440"/>
        <w:rPr>
          <w:rFonts w:ascii="Comic Sans MS" w:hAnsi="Comic Sans MS"/>
          <w:sz w:val="20"/>
          <w:szCs w:val="20"/>
        </w:rPr>
      </w:pPr>
      <w:r w:rsidRPr="00606A2A">
        <w:rPr>
          <w:rFonts w:ascii="Comic Sans MS" w:hAnsi="Comic Sans MS"/>
          <w:sz w:val="20"/>
          <w:szCs w:val="20"/>
          <w:u w:val="single"/>
        </w:rPr>
        <w:t>Cash dividends</w:t>
      </w:r>
      <w:r w:rsidRPr="00606A2A">
        <w:rPr>
          <w:rFonts w:ascii="Comic Sans MS" w:hAnsi="Comic Sans MS"/>
          <w:sz w:val="20"/>
          <w:szCs w:val="20"/>
        </w:rPr>
        <w:t>- A company pays regular cash dividends whenever it distributes a share of its profits in cash to its shareholders based on a regular dividend payment schedule. For example, the company may opt to pay shareholders a dividend every quarter, semi-annually, or annually. Thus, the company could issue an annual dividend of, say, $0.50 per share. In such a scenario, an investor who owns 100,000 common shares would receive $50,000.</w:t>
      </w:r>
    </w:p>
    <w:p w14:paraId="2049F36A" w14:textId="64209D38" w:rsidR="00A37BF5" w:rsidRPr="00606A2A" w:rsidRDefault="00A37BF5" w:rsidP="00A37BF5">
      <w:pPr>
        <w:pStyle w:val="ListParagraph"/>
        <w:ind w:left="1440"/>
        <w:rPr>
          <w:rFonts w:ascii="Comic Sans MS" w:hAnsi="Comic Sans MS"/>
          <w:sz w:val="20"/>
          <w:szCs w:val="20"/>
        </w:rPr>
      </w:pPr>
      <w:r w:rsidRPr="00606A2A">
        <w:rPr>
          <w:rFonts w:ascii="Comic Sans MS" w:hAnsi="Comic Sans MS"/>
          <w:sz w:val="20"/>
          <w:szCs w:val="20"/>
          <w:u w:val="single"/>
        </w:rPr>
        <w:t>Extra dividends</w:t>
      </w:r>
      <w:r w:rsidRPr="00606A2A">
        <w:rPr>
          <w:rFonts w:ascii="Comic Sans MS" w:hAnsi="Comic Sans MS"/>
          <w:sz w:val="20"/>
          <w:szCs w:val="20"/>
        </w:rPr>
        <w:t>- A company may also issue a dividend outside of the usual schedule to supplement the regular cash dividend with an extra payment. This is called an extra dividend or special dividend.</w:t>
      </w:r>
    </w:p>
    <w:p w14:paraId="27EBFC82" w14:textId="186D70DD" w:rsidR="00A37BF5" w:rsidRPr="00606A2A" w:rsidRDefault="00A37BF5" w:rsidP="00A37BF5">
      <w:pPr>
        <w:pStyle w:val="ListParagraph"/>
        <w:ind w:left="1440"/>
        <w:rPr>
          <w:rFonts w:ascii="Comic Sans MS" w:hAnsi="Comic Sans MS"/>
          <w:sz w:val="20"/>
          <w:szCs w:val="20"/>
        </w:rPr>
      </w:pPr>
      <w:r w:rsidRPr="00606A2A">
        <w:rPr>
          <w:rFonts w:ascii="Comic Sans MS" w:hAnsi="Comic Sans MS"/>
          <w:sz w:val="20"/>
          <w:szCs w:val="20"/>
          <w:u w:val="single"/>
        </w:rPr>
        <w:t>Stock dividends</w:t>
      </w:r>
      <w:r w:rsidRPr="00606A2A">
        <w:rPr>
          <w:rFonts w:ascii="Comic Sans MS" w:hAnsi="Comic Sans MS"/>
          <w:sz w:val="20"/>
          <w:szCs w:val="20"/>
        </w:rPr>
        <w:t xml:space="preserve">- Stock dividends refer to all dividend payments that are not in the form of cash. In these instances, a company chooses to distribute profits in </w:t>
      </w:r>
      <w:r w:rsidRPr="00606A2A">
        <w:rPr>
          <w:rFonts w:ascii="Comic Sans MS" w:hAnsi="Comic Sans MS"/>
          <w:sz w:val="20"/>
          <w:szCs w:val="20"/>
        </w:rPr>
        <w:lastRenderedPageBreak/>
        <w:t>the form of additional shares instead of using cash. For example, when a company declares a 10% stock dividend, every shareholder receives an additional 10 shares for every 100 shares they already own.</w:t>
      </w:r>
    </w:p>
    <w:p w14:paraId="3BDB9445" w14:textId="222169C5" w:rsidR="007B24E6" w:rsidRPr="00606A2A" w:rsidRDefault="007B24E6" w:rsidP="00606A2A">
      <w:pPr>
        <w:pStyle w:val="ListParagraph"/>
        <w:numPr>
          <w:ilvl w:val="0"/>
          <w:numId w:val="6"/>
        </w:numPr>
        <w:rPr>
          <w:rFonts w:ascii="Comic Sans MS" w:hAnsi="Comic Sans MS"/>
          <w:sz w:val="20"/>
          <w:szCs w:val="20"/>
        </w:rPr>
      </w:pPr>
      <w:r w:rsidRPr="00606A2A">
        <w:rPr>
          <w:rFonts w:ascii="Comic Sans MS" w:hAnsi="Comic Sans MS"/>
          <w:sz w:val="20"/>
          <w:szCs w:val="20"/>
        </w:rPr>
        <w:t>Free cash flow to equity is a measure of how much cash is available to the equity shareholders of a company after all expenses, reinvestment, and debt are paid. FCFE is a measure of equity capital usage.</w:t>
      </w:r>
    </w:p>
    <w:p w14:paraId="7F2EB127" w14:textId="77777777" w:rsidR="00A37BF5" w:rsidRPr="00606A2A" w:rsidRDefault="00A37BF5" w:rsidP="00A37BF5">
      <w:pPr>
        <w:pStyle w:val="ListParagraph"/>
        <w:ind w:left="1440"/>
        <w:rPr>
          <w:rFonts w:ascii="Comic Sans MS" w:hAnsi="Comic Sans MS"/>
          <w:sz w:val="20"/>
          <w:szCs w:val="20"/>
        </w:rPr>
      </w:pPr>
    </w:p>
    <w:p w14:paraId="7E8BAEB9" w14:textId="1ED7C62D" w:rsidR="00D73A9C" w:rsidRPr="00606A2A" w:rsidRDefault="00D73A9C" w:rsidP="00D73A9C">
      <w:pPr>
        <w:rPr>
          <w:sz w:val="20"/>
          <w:szCs w:val="20"/>
        </w:rPr>
      </w:pPr>
    </w:p>
    <w:sectPr w:rsidR="00D73A9C" w:rsidRPr="00606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6613"/>
    <w:multiLevelType w:val="hybridMultilevel"/>
    <w:tmpl w:val="9DF673E4"/>
    <w:lvl w:ilvl="0" w:tplc="148EF70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1EC06B5"/>
    <w:multiLevelType w:val="hybridMultilevel"/>
    <w:tmpl w:val="F4227E6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2D03595"/>
    <w:multiLevelType w:val="hybridMultilevel"/>
    <w:tmpl w:val="5D0AD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A87DC6"/>
    <w:multiLevelType w:val="hybridMultilevel"/>
    <w:tmpl w:val="F78C5566"/>
    <w:lvl w:ilvl="0" w:tplc="71BA7500">
      <w:start w:val="1"/>
      <w:numFmt w:val="lowerLetter"/>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28114405"/>
    <w:multiLevelType w:val="hybridMultilevel"/>
    <w:tmpl w:val="80D4D7AE"/>
    <w:lvl w:ilvl="0" w:tplc="8E468F64">
      <w:start w:val="15"/>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B74256"/>
    <w:multiLevelType w:val="hybridMultilevel"/>
    <w:tmpl w:val="8704322A"/>
    <w:lvl w:ilvl="0" w:tplc="295E5878">
      <w:start w:val="15"/>
      <w:numFmt w:val="decimal"/>
      <w:lvlText w:val="%1."/>
      <w:lvlJc w:val="left"/>
      <w:pPr>
        <w:ind w:left="750" w:hanging="39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D33709"/>
    <w:multiLevelType w:val="hybridMultilevel"/>
    <w:tmpl w:val="0C125C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8E"/>
    <w:rsid w:val="001A728E"/>
    <w:rsid w:val="001F0293"/>
    <w:rsid w:val="002A7289"/>
    <w:rsid w:val="002E26D9"/>
    <w:rsid w:val="003E40FB"/>
    <w:rsid w:val="005425B0"/>
    <w:rsid w:val="00606A2A"/>
    <w:rsid w:val="00647817"/>
    <w:rsid w:val="006F1576"/>
    <w:rsid w:val="007B24E6"/>
    <w:rsid w:val="00833875"/>
    <w:rsid w:val="00907A4F"/>
    <w:rsid w:val="009A1B01"/>
    <w:rsid w:val="00A01C62"/>
    <w:rsid w:val="00A20B55"/>
    <w:rsid w:val="00A37BF5"/>
    <w:rsid w:val="00D73A9C"/>
    <w:rsid w:val="00FF2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FEDE"/>
  <w15:chartTrackingRefBased/>
  <w15:docId w15:val="{E9120CC6-B80B-407F-8A17-DFFA2550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5</cp:revision>
  <dcterms:created xsi:type="dcterms:W3CDTF">2021-09-21T17:16:00Z</dcterms:created>
  <dcterms:modified xsi:type="dcterms:W3CDTF">2021-09-22T09:04:00Z</dcterms:modified>
</cp:coreProperties>
</file>