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547B5" w14:textId="70C81AA7" w:rsidR="00303C83" w:rsidRPr="000567AF" w:rsidRDefault="003D7839">
      <w:pPr>
        <w:rPr>
          <w:rFonts w:asciiTheme="majorHAnsi" w:hAnsiTheme="majorHAnsi" w:cstheme="majorHAnsi"/>
          <w:bCs/>
        </w:rPr>
      </w:pPr>
      <w:r w:rsidRPr="000567AF">
        <w:rPr>
          <w:rFonts w:asciiTheme="majorHAnsi" w:hAnsiTheme="majorHAnsi" w:cstheme="majorHAnsi"/>
          <w:b/>
        </w:rPr>
        <w:t xml:space="preserve">Q1. </w:t>
      </w:r>
      <w:r w:rsidR="00620102" w:rsidRPr="000567AF">
        <w:rPr>
          <w:rFonts w:asciiTheme="majorHAnsi" w:hAnsiTheme="majorHAnsi" w:cstheme="majorHAnsi"/>
          <w:b/>
          <w:i/>
          <w:iCs/>
        </w:rPr>
        <w:t>C.</w:t>
      </w:r>
      <w:r w:rsidR="00620102" w:rsidRPr="000567AF">
        <w:rPr>
          <w:rFonts w:asciiTheme="majorHAnsi" w:hAnsiTheme="majorHAnsi" w:cstheme="majorHAnsi"/>
          <w:bCs/>
        </w:rPr>
        <w:t xml:space="preserve"> </w:t>
      </w:r>
      <w:proofErr w:type="gramStart"/>
      <w:r w:rsidR="00620102" w:rsidRPr="000567AF">
        <w:rPr>
          <w:rFonts w:asciiTheme="majorHAnsi" w:hAnsiTheme="majorHAnsi" w:cstheme="majorHAnsi"/>
          <w:bCs/>
        </w:rPr>
        <w:t>I,II</w:t>
      </w:r>
      <w:proofErr w:type="gramEnd"/>
      <w:r w:rsidR="00620102" w:rsidRPr="000567AF">
        <w:rPr>
          <w:rFonts w:asciiTheme="majorHAnsi" w:hAnsiTheme="majorHAnsi" w:cstheme="majorHAnsi"/>
          <w:bCs/>
        </w:rPr>
        <w:t xml:space="preserve"> &amp;IV</w:t>
      </w:r>
    </w:p>
    <w:p w14:paraId="4C6430B4" w14:textId="5024DB0F" w:rsidR="00620102" w:rsidRPr="000567AF" w:rsidRDefault="003D7839">
      <w:pPr>
        <w:rPr>
          <w:rFonts w:asciiTheme="majorHAnsi" w:hAnsiTheme="majorHAnsi" w:cstheme="majorHAnsi"/>
          <w:b/>
        </w:rPr>
      </w:pPr>
      <w:r w:rsidRPr="000567AF">
        <w:rPr>
          <w:rFonts w:asciiTheme="majorHAnsi" w:hAnsiTheme="majorHAnsi" w:cstheme="majorHAnsi"/>
          <w:b/>
        </w:rPr>
        <w:t>Q2</w:t>
      </w:r>
      <w:r w:rsidR="000567AF" w:rsidRPr="000567AF">
        <w:rPr>
          <w:rFonts w:asciiTheme="majorHAnsi" w:hAnsiTheme="majorHAnsi" w:cstheme="majorHAnsi"/>
          <w:b/>
        </w:rPr>
        <w:t xml:space="preserve"> </w:t>
      </w:r>
      <w:r w:rsidR="00620102" w:rsidRPr="000567AF">
        <w:rPr>
          <w:rFonts w:asciiTheme="majorHAnsi" w:hAnsiTheme="majorHAnsi" w:cstheme="majorHAnsi"/>
          <w:b/>
          <w:i/>
          <w:iCs/>
        </w:rPr>
        <w:t xml:space="preserve">A. </w:t>
      </w:r>
      <w:r w:rsidR="00620102" w:rsidRPr="000567AF">
        <w:rPr>
          <w:rFonts w:asciiTheme="majorHAnsi" w:hAnsiTheme="majorHAnsi" w:cstheme="majorHAnsi"/>
          <w:bCs/>
        </w:rPr>
        <w:t>Disclaimer of Opinion</w:t>
      </w:r>
    </w:p>
    <w:p w14:paraId="22B0965B" w14:textId="7124B32D" w:rsidR="00C24D83" w:rsidRPr="000567AF" w:rsidRDefault="004E4D81">
      <w:pPr>
        <w:rPr>
          <w:rFonts w:asciiTheme="majorHAnsi" w:hAnsiTheme="majorHAnsi" w:cstheme="majorHAnsi"/>
          <w:b/>
        </w:rPr>
      </w:pPr>
      <w:r w:rsidRPr="000567AF">
        <w:rPr>
          <w:rFonts w:asciiTheme="majorHAnsi" w:hAnsiTheme="majorHAnsi" w:cstheme="majorHAnsi"/>
          <w:b/>
        </w:rPr>
        <w:t>Q3</w:t>
      </w:r>
      <w:r w:rsidR="000567AF" w:rsidRPr="000567AF">
        <w:rPr>
          <w:rFonts w:asciiTheme="majorHAnsi" w:hAnsiTheme="majorHAnsi" w:cstheme="majorHAnsi"/>
          <w:b/>
        </w:rPr>
        <w:t xml:space="preserve"> </w:t>
      </w:r>
      <w:r w:rsidR="00620102" w:rsidRPr="000567AF">
        <w:rPr>
          <w:rFonts w:asciiTheme="majorHAnsi" w:hAnsiTheme="majorHAnsi" w:cstheme="majorHAnsi"/>
          <w:b/>
          <w:i/>
          <w:iCs/>
        </w:rPr>
        <w:t>C.</w:t>
      </w:r>
      <w:r w:rsidR="00620102" w:rsidRPr="000567AF">
        <w:rPr>
          <w:rFonts w:asciiTheme="majorHAnsi" w:hAnsiTheme="majorHAnsi" w:cstheme="majorHAnsi"/>
        </w:rPr>
        <w:t xml:space="preserve"> </w:t>
      </w:r>
      <w:r w:rsidR="00C24D83" w:rsidRPr="000567AF">
        <w:rPr>
          <w:rFonts w:asciiTheme="majorHAnsi" w:hAnsiTheme="majorHAnsi" w:cstheme="majorHAnsi"/>
        </w:rPr>
        <w:t>Chairman’s report.</w:t>
      </w:r>
    </w:p>
    <w:p w14:paraId="62479886" w14:textId="72EA2C1B" w:rsidR="00303C83" w:rsidRPr="000567AF" w:rsidRDefault="00F04D12">
      <w:pPr>
        <w:rPr>
          <w:rFonts w:asciiTheme="majorHAnsi" w:hAnsiTheme="majorHAnsi" w:cstheme="majorHAnsi"/>
          <w:bCs/>
        </w:rPr>
      </w:pPr>
      <w:r w:rsidRPr="000567AF">
        <w:rPr>
          <w:rFonts w:asciiTheme="majorHAnsi" w:hAnsiTheme="majorHAnsi" w:cstheme="majorHAnsi"/>
          <w:b/>
        </w:rPr>
        <w:t>Q4</w:t>
      </w:r>
      <w:r w:rsidR="000567AF" w:rsidRPr="000567AF">
        <w:rPr>
          <w:rFonts w:asciiTheme="majorHAnsi" w:hAnsiTheme="majorHAnsi" w:cstheme="majorHAnsi"/>
          <w:b/>
        </w:rPr>
        <w:t xml:space="preserve"> </w:t>
      </w:r>
      <w:r w:rsidR="003A092C" w:rsidRPr="000567AF">
        <w:rPr>
          <w:rFonts w:asciiTheme="majorHAnsi" w:hAnsiTheme="majorHAnsi" w:cstheme="majorHAnsi"/>
          <w:b/>
          <w:i/>
          <w:iCs/>
        </w:rPr>
        <w:t xml:space="preserve">D. </w:t>
      </w:r>
      <w:proofErr w:type="gramStart"/>
      <w:r w:rsidR="003A092C" w:rsidRPr="000567AF">
        <w:rPr>
          <w:rFonts w:asciiTheme="majorHAnsi" w:hAnsiTheme="majorHAnsi" w:cstheme="majorHAnsi"/>
          <w:bCs/>
        </w:rPr>
        <w:t>I,II</w:t>
      </w:r>
      <w:proofErr w:type="gramEnd"/>
      <w:r w:rsidR="003A092C" w:rsidRPr="000567AF">
        <w:rPr>
          <w:rFonts w:asciiTheme="majorHAnsi" w:hAnsiTheme="majorHAnsi" w:cstheme="majorHAnsi"/>
          <w:bCs/>
        </w:rPr>
        <w:t xml:space="preserve"> &amp; III</w:t>
      </w:r>
    </w:p>
    <w:p w14:paraId="4C0F51FB" w14:textId="1DFCB427" w:rsidR="00676F42" w:rsidRPr="000567AF" w:rsidRDefault="00F04D12">
      <w:pPr>
        <w:rPr>
          <w:rFonts w:asciiTheme="majorHAnsi" w:hAnsiTheme="majorHAnsi" w:cstheme="majorHAnsi"/>
        </w:rPr>
      </w:pPr>
      <w:r w:rsidRPr="000567AF">
        <w:rPr>
          <w:rFonts w:asciiTheme="majorHAnsi" w:hAnsiTheme="majorHAnsi" w:cstheme="majorHAnsi"/>
          <w:b/>
        </w:rPr>
        <w:t xml:space="preserve">Q5. a) </w:t>
      </w:r>
      <w:r w:rsidR="001F28E0" w:rsidRPr="000567AF">
        <w:rPr>
          <w:rFonts w:asciiTheme="majorHAnsi" w:hAnsiTheme="majorHAnsi" w:cstheme="majorHAnsi"/>
          <w:u w:val="single"/>
        </w:rPr>
        <w:t>Realization:</w:t>
      </w:r>
      <w:r w:rsidR="001F28E0" w:rsidRPr="000567AF">
        <w:rPr>
          <w:rFonts w:asciiTheme="majorHAnsi" w:hAnsiTheme="majorHAnsi" w:cstheme="majorHAnsi"/>
        </w:rPr>
        <w:t xml:space="preserve"> </w:t>
      </w:r>
      <w:r w:rsidR="008535CA" w:rsidRPr="000567AF">
        <w:rPr>
          <w:rFonts w:asciiTheme="majorHAnsi" w:hAnsiTheme="majorHAnsi" w:cstheme="majorHAnsi"/>
        </w:rPr>
        <w:t>Income is recognised as and when it is ‘earned’. It is not, therefore, necessary to wait until the customer settles his or her bill. This avoids the fluctuations in reported income which might arise if everything was accounted for on a cash basis. It can also create the impression that the business is performing well when, in fact, it is in danger of running out of cash. A business might report income long before the related cash inflows which may be a problem for a growing business.</w:t>
      </w:r>
    </w:p>
    <w:p w14:paraId="02C8E9B9" w14:textId="77777777" w:rsidR="001F28E0" w:rsidRPr="000567AF" w:rsidRDefault="001F28E0">
      <w:pPr>
        <w:rPr>
          <w:rFonts w:asciiTheme="majorHAnsi" w:hAnsiTheme="majorHAnsi" w:cstheme="majorHAnsi"/>
        </w:rPr>
      </w:pPr>
      <w:r w:rsidRPr="000567AF">
        <w:rPr>
          <w:rFonts w:asciiTheme="majorHAnsi" w:hAnsiTheme="majorHAnsi" w:cstheme="majorHAnsi"/>
          <w:u w:val="single"/>
        </w:rPr>
        <w:t xml:space="preserve">Accruals: </w:t>
      </w:r>
      <w:r w:rsidR="00092F90" w:rsidRPr="000567AF">
        <w:rPr>
          <w:rFonts w:asciiTheme="majorHAnsi" w:hAnsiTheme="majorHAnsi" w:cstheme="majorHAnsi"/>
        </w:rPr>
        <w:t xml:space="preserve">Expenses are recognised as and when they are incurred, regardless of whether the amount has been paid. Again, this avoids the random allocation of costs to periods depending on whether the bill happens to have been paid or not.  </w:t>
      </w:r>
    </w:p>
    <w:p w14:paraId="51497347" w14:textId="0F6E3C47" w:rsidR="001602CC" w:rsidRPr="000567AF" w:rsidRDefault="00F04D12">
      <w:pPr>
        <w:rPr>
          <w:rFonts w:asciiTheme="majorHAnsi" w:hAnsiTheme="majorHAnsi" w:cstheme="majorHAnsi"/>
          <w:b/>
        </w:rPr>
      </w:pPr>
      <w:r w:rsidRPr="000567AF">
        <w:rPr>
          <w:rFonts w:asciiTheme="majorHAnsi" w:hAnsiTheme="majorHAnsi" w:cstheme="majorHAnsi"/>
          <w:b/>
        </w:rPr>
        <w:t xml:space="preserve"> </w:t>
      </w:r>
      <w:r w:rsidR="004E4D81" w:rsidRPr="000567AF">
        <w:rPr>
          <w:rFonts w:asciiTheme="majorHAnsi" w:hAnsiTheme="majorHAnsi" w:cstheme="majorHAnsi"/>
          <w:b/>
        </w:rPr>
        <w:t xml:space="preserve"> </w:t>
      </w:r>
      <w:r w:rsidRPr="000567AF">
        <w:rPr>
          <w:rFonts w:asciiTheme="majorHAnsi" w:hAnsiTheme="majorHAnsi" w:cstheme="majorHAnsi"/>
          <w:b/>
        </w:rPr>
        <w:t xml:space="preserve">     </w:t>
      </w:r>
      <w:r w:rsidR="00DA31CA" w:rsidRPr="000567AF">
        <w:rPr>
          <w:rFonts w:asciiTheme="majorHAnsi" w:hAnsiTheme="majorHAnsi" w:cstheme="majorHAnsi"/>
          <w:b/>
        </w:rPr>
        <w:t xml:space="preserve">b) </w:t>
      </w:r>
      <w:r w:rsidR="003A092C" w:rsidRPr="000567AF">
        <w:rPr>
          <w:rFonts w:asciiTheme="majorHAnsi" w:hAnsiTheme="majorHAnsi" w:cstheme="majorHAnsi"/>
          <w:u w:val="single"/>
        </w:rPr>
        <w:t>Realization:</w:t>
      </w:r>
    </w:p>
    <w:p w14:paraId="0F832DE4" w14:textId="7913C85A" w:rsidR="00D236FC" w:rsidRPr="000567AF" w:rsidRDefault="00D236FC" w:rsidP="00D236FC">
      <w:pPr>
        <w:pStyle w:val="comp"/>
        <w:shd w:val="clear" w:color="auto" w:fill="FFFFFF"/>
        <w:spacing w:before="0" w:beforeAutospacing="0"/>
        <w:rPr>
          <w:rFonts w:asciiTheme="majorHAnsi" w:eastAsiaTheme="minorHAnsi" w:hAnsiTheme="majorHAnsi" w:cstheme="majorHAnsi"/>
          <w:sz w:val="22"/>
          <w:szCs w:val="22"/>
          <w:lang w:eastAsia="en-US"/>
        </w:rPr>
      </w:pPr>
      <w:r w:rsidRPr="000567AF">
        <w:rPr>
          <w:rFonts w:asciiTheme="majorHAnsi" w:eastAsiaTheme="minorHAnsi" w:hAnsiTheme="majorHAnsi" w:cstheme="majorHAnsi"/>
          <w:sz w:val="22"/>
          <w:szCs w:val="22"/>
          <w:lang w:eastAsia="en-US"/>
        </w:rPr>
        <w:t>There are 2 </w:t>
      </w:r>
      <w:hyperlink r:id="rId6" w:history="1">
        <w:r w:rsidRPr="000567AF">
          <w:rPr>
            <w:rFonts w:asciiTheme="majorHAnsi" w:eastAsiaTheme="minorHAnsi" w:hAnsiTheme="majorHAnsi" w:cstheme="majorHAnsi"/>
            <w:sz w:val="22"/>
            <w:szCs w:val="22"/>
            <w:lang w:eastAsia="en-US"/>
          </w:rPr>
          <w:t>approaches to manipulating financial statements</w:t>
        </w:r>
      </w:hyperlink>
      <w:r w:rsidRPr="000567AF">
        <w:rPr>
          <w:rFonts w:asciiTheme="majorHAnsi" w:eastAsiaTheme="minorHAnsi" w:hAnsiTheme="majorHAnsi" w:cstheme="majorHAnsi"/>
          <w:sz w:val="22"/>
          <w:szCs w:val="22"/>
          <w:lang w:eastAsia="en-US"/>
        </w:rPr>
        <w:t>. The first is to exaggerate current period earnings on the income statement by artificially inflating revenue and profits, or by deflating current period expenses. This approach makes the financial condition of the company look better than it actually is in order to meet expectations.</w:t>
      </w:r>
    </w:p>
    <w:p w14:paraId="36844C96" w14:textId="0F0A6ECA" w:rsidR="00D236FC" w:rsidRPr="000567AF" w:rsidRDefault="00D236FC" w:rsidP="00D236FC">
      <w:pPr>
        <w:pStyle w:val="comp"/>
        <w:shd w:val="clear" w:color="auto" w:fill="FFFFFF"/>
        <w:spacing w:before="0" w:beforeAutospacing="0"/>
        <w:rPr>
          <w:rFonts w:asciiTheme="majorHAnsi" w:hAnsiTheme="majorHAnsi" w:cstheme="majorHAnsi"/>
          <w:color w:val="111111"/>
          <w:sz w:val="26"/>
          <w:szCs w:val="26"/>
        </w:rPr>
      </w:pPr>
      <w:r w:rsidRPr="000567AF">
        <w:rPr>
          <w:rFonts w:asciiTheme="majorHAnsi" w:eastAsiaTheme="minorHAnsi" w:hAnsiTheme="majorHAnsi" w:cstheme="majorHAnsi"/>
          <w:sz w:val="22"/>
          <w:szCs w:val="22"/>
          <w:lang w:eastAsia="en-US"/>
        </w:rPr>
        <w:t>The second approach requires the exact opposite tactic, to minimize current period earnings on the income statement by deflating revenue or by inflating current period expenses. It seems counterintuitive to make the financial condition of a company look worse than it actually is, however there are many reasons to do so: to dissuade potential </w:t>
      </w:r>
      <w:hyperlink r:id="rId7" w:history="1">
        <w:r w:rsidRPr="000567AF">
          <w:rPr>
            <w:rFonts w:asciiTheme="majorHAnsi" w:eastAsiaTheme="minorHAnsi" w:hAnsiTheme="majorHAnsi" w:cstheme="majorHAnsi"/>
            <w:sz w:val="22"/>
            <w:szCs w:val="22"/>
            <w:lang w:eastAsia="en-US"/>
          </w:rPr>
          <w:t>acquirers</w:t>
        </w:r>
      </w:hyperlink>
      <w:r w:rsidRPr="000567AF">
        <w:rPr>
          <w:rFonts w:asciiTheme="majorHAnsi" w:eastAsiaTheme="minorHAnsi" w:hAnsiTheme="majorHAnsi" w:cstheme="majorHAnsi"/>
          <w:sz w:val="22"/>
          <w:szCs w:val="22"/>
          <w:lang w:eastAsia="en-US"/>
        </w:rPr>
        <w:t>; getting all of the bad news "out of the way" so that the company will look better going forward; dumping the grim numbers into a period when the poor performance can be attributed to the current macroeconomic environment; or to postpone good financial information to a future period when it is more likely to be recognized</w:t>
      </w:r>
      <w:r w:rsidRPr="000567AF">
        <w:rPr>
          <w:rFonts w:asciiTheme="majorHAnsi" w:hAnsiTheme="majorHAnsi" w:cstheme="majorHAnsi"/>
          <w:color w:val="111111"/>
          <w:sz w:val="26"/>
          <w:szCs w:val="26"/>
        </w:rPr>
        <w:t>.</w:t>
      </w:r>
    </w:p>
    <w:p w14:paraId="1B284C32" w14:textId="1EC766E8" w:rsidR="00D236FC" w:rsidRPr="000567AF" w:rsidRDefault="00D236FC" w:rsidP="00D236FC">
      <w:pPr>
        <w:pStyle w:val="NormalWeb"/>
        <w:shd w:val="clear" w:color="auto" w:fill="F8F9FA"/>
        <w:rPr>
          <w:rFonts w:asciiTheme="majorHAnsi" w:eastAsiaTheme="minorHAnsi" w:hAnsiTheme="majorHAnsi" w:cstheme="majorHAnsi"/>
          <w:sz w:val="22"/>
          <w:szCs w:val="22"/>
          <w:lang w:eastAsia="en-US"/>
        </w:rPr>
      </w:pPr>
      <w:r w:rsidRPr="000567AF">
        <w:rPr>
          <w:rFonts w:asciiTheme="majorHAnsi" w:eastAsiaTheme="minorHAnsi" w:hAnsiTheme="majorHAnsi" w:cstheme="majorHAnsi"/>
          <w:sz w:val="22"/>
          <w:szCs w:val="22"/>
          <w:lang w:eastAsia="en-US"/>
        </w:rPr>
        <w:t>A simple method of manipulating financial statements is that of inflating assets with false inventory count values. For example, a company may do an ordinary inventory count, but then add 100 items to each – so, 500 desktop computers become 600 desktop computers, or 150 computer monitors become 250 monitors, etc.</w:t>
      </w:r>
    </w:p>
    <w:p w14:paraId="73FFED08" w14:textId="77777777" w:rsidR="00D236FC" w:rsidRPr="000567AF" w:rsidRDefault="00D236FC" w:rsidP="00D236FC">
      <w:pPr>
        <w:shd w:val="clear" w:color="auto" w:fill="F8F9FA"/>
        <w:spacing w:before="100" w:beforeAutospacing="1" w:after="100" w:afterAutospacing="1" w:line="240" w:lineRule="auto"/>
        <w:rPr>
          <w:rFonts w:asciiTheme="majorHAnsi" w:hAnsiTheme="majorHAnsi" w:cstheme="majorHAnsi"/>
        </w:rPr>
      </w:pPr>
      <w:r w:rsidRPr="000567AF">
        <w:rPr>
          <w:rFonts w:asciiTheme="majorHAnsi" w:hAnsiTheme="majorHAnsi" w:cstheme="majorHAnsi"/>
        </w:rPr>
        <w:t>If the average inventory item value is $350, and there are 10 categories of items, then, using such a creative inventory addition technique, the company can quickly increase the value of its total assets by $350,000.</w:t>
      </w:r>
    </w:p>
    <w:p w14:paraId="490749F0" w14:textId="3C355391" w:rsidR="001602CC" w:rsidRPr="000567AF" w:rsidRDefault="001602CC">
      <w:pPr>
        <w:rPr>
          <w:rFonts w:asciiTheme="majorHAnsi" w:hAnsiTheme="majorHAnsi" w:cstheme="majorHAnsi"/>
        </w:rPr>
      </w:pPr>
    </w:p>
    <w:p w14:paraId="37AC4FE2" w14:textId="7CFD703B" w:rsidR="009766BD" w:rsidRPr="000567AF" w:rsidRDefault="00F800BB">
      <w:pPr>
        <w:rPr>
          <w:rFonts w:asciiTheme="majorHAnsi" w:hAnsiTheme="majorHAnsi" w:cstheme="majorHAnsi"/>
          <w:b/>
        </w:rPr>
      </w:pPr>
      <w:r w:rsidRPr="000567AF">
        <w:rPr>
          <w:rFonts w:asciiTheme="majorHAnsi" w:hAnsiTheme="majorHAnsi" w:cstheme="majorHAnsi"/>
          <w:b/>
        </w:rPr>
        <w:t xml:space="preserve">Q7. </w:t>
      </w:r>
    </w:p>
    <w:p w14:paraId="1D36631F" w14:textId="77777777" w:rsidR="00E60E1B" w:rsidRPr="000567AF" w:rsidRDefault="00CF274A">
      <w:pPr>
        <w:rPr>
          <w:rFonts w:asciiTheme="majorHAnsi" w:hAnsiTheme="majorHAnsi" w:cstheme="majorHAnsi"/>
          <w:b/>
          <w:bCs/>
        </w:rPr>
      </w:pPr>
      <w:r w:rsidRPr="000567AF">
        <w:rPr>
          <w:rFonts w:asciiTheme="majorHAnsi" w:hAnsiTheme="majorHAnsi" w:cstheme="majorHAnsi"/>
          <w:b/>
          <w:bCs/>
        </w:rPr>
        <w:t>1. Property that the company possess has been revalued upwards by ₹100 crores by the Valuer.</w:t>
      </w:r>
      <w:r w:rsidR="00E60E1B" w:rsidRPr="000567AF">
        <w:rPr>
          <w:rFonts w:asciiTheme="majorHAnsi" w:hAnsiTheme="majorHAnsi" w:cstheme="majorHAnsi"/>
          <w:b/>
          <w:bCs/>
        </w:rPr>
        <w:t xml:space="preserve">  </w:t>
      </w:r>
    </w:p>
    <w:p w14:paraId="688166D1" w14:textId="64F6A1F6" w:rsidR="00D656C1" w:rsidRPr="000567AF" w:rsidRDefault="00E60E1B">
      <w:pPr>
        <w:rPr>
          <w:rFonts w:asciiTheme="majorHAnsi" w:hAnsiTheme="majorHAnsi" w:cstheme="majorHAnsi"/>
          <w:b/>
          <w:bCs/>
        </w:rPr>
      </w:pPr>
      <w:r w:rsidRPr="000567AF">
        <w:rPr>
          <w:rFonts w:asciiTheme="majorHAnsi" w:hAnsiTheme="majorHAnsi" w:cstheme="majorHAnsi"/>
          <w:b/>
          <w:bCs/>
          <w:i/>
          <w:iCs/>
          <w:u w:val="single"/>
        </w:rPr>
        <w:t>Increase to gross profit, no cashflow</w:t>
      </w:r>
      <w:r w:rsidRPr="000567AF">
        <w:rPr>
          <w:rFonts w:asciiTheme="majorHAnsi" w:hAnsiTheme="majorHAnsi" w:cstheme="majorHAnsi"/>
          <w:b/>
          <w:bCs/>
        </w:rPr>
        <w:t xml:space="preserve">                                    </w:t>
      </w:r>
    </w:p>
    <w:p w14:paraId="47525856" w14:textId="3A751B58" w:rsidR="00CF274A" w:rsidRPr="000567AF" w:rsidRDefault="00CF274A">
      <w:pPr>
        <w:rPr>
          <w:rFonts w:asciiTheme="majorHAnsi" w:hAnsiTheme="majorHAnsi" w:cstheme="majorHAnsi"/>
          <w:b/>
          <w:bCs/>
        </w:rPr>
      </w:pPr>
      <w:r w:rsidRPr="000567AF">
        <w:rPr>
          <w:rFonts w:asciiTheme="majorHAnsi" w:hAnsiTheme="majorHAnsi" w:cstheme="majorHAnsi"/>
          <w:b/>
          <w:bCs/>
        </w:rPr>
        <w:t>2. There has been an interest payment of ₹1000 crores towards Masala bond issued by the company.</w:t>
      </w:r>
    </w:p>
    <w:p w14:paraId="39A6C7E0" w14:textId="68B2726A" w:rsidR="00E60E1B" w:rsidRPr="000567AF" w:rsidRDefault="00E60E1B">
      <w:pPr>
        <w:rPr>
          <w:rFonts w:asciiTheme="majorHAnsi" w:hAnsiTheme="majorHAnsi" w:cstheme="majorHAnsi"/>
          <w:b/>
          <w:bCs/>
        </w:rPr>
      </w:pPr>
      <w:r w:rsidRPr="000567AF">
        <w:rPr>
          <w:rFonts w:asciiTheme="majorHAnsi" w:hAnsiTheme="majorHAnsi" w:cstheme="majorHAnsi"/>
          <w:b/>
          <w:bCs/>
          <w:i/>
          <w:iCs/>
          <w:u w:val="single"/>
        </w:rPr>
        <w:t>Decrease to gross profit, negative cashflow of ₹1000 crores</w:t>
      </w:r>
    </w:p>
    <w:p w14:paraId="3AB459E8" w14:textId="77777777" w:rsidR="00E60E1B" w:rsidRPr="000567AF" w:rsidRDefault="00CF274A">
      <w:pPr>
        <w:rPr>
          <w:rFonts w:asciiTheme="majorHAnsi" w:hAnsiTheme="majorHAnsi" w:cstheme="majorHAnsi"/>
          <w:b/>
          <w:bCs/>
        </w:rPr>
      </w:pPr>
      <w:r w:rsidRPr="000567AF">
        <w:rPr>
          <w:rFonts w:asciiTheme="majorHAnsi" w:hAnsiTheme="majorHAnsi" w:cstheme="majorHAnsi"/>
          <w:b/>
          <w:bCs/>
        </w:rPr>
        <w:lastRenderedPageBreak/>
        <w:t xml:space="preserve">3. There has been an increase in inventory of ₹500 crores which were manufactured out of raw materials available in the previous year end, </w:t>
      </w:r>
      <w:r w:rsidR="006D5630" w:rsidRPr="000567AF">
        <w:rPr>
          <w:rFonts w:asciiTheme="majorHAnsi" w:hAnsiTheme="majorHAnsi" w:cstheme="majorHAnsi"/>
          <w:b/>
          <w:bCs/>
        </w:rPr>
        <w:t xml:space="preserve">ignoring </w:t>
      </w:r>
      <w:r w:rsidR="002351A3" w:rsidRPr="000567AF">
        <w:rPr>
          <w:rFonts w:asciiTheme="majorHAnsi" w:hAnsiTheme="majorHAnsi" w:cstheme="majorHAnsi"/>
          <w:b/>
          <w:bCs/>
        </w:rPr>
        <w:t>any man power and production cost.</w:t>
      </w:r>
    </w:p>
    <w:p w14:paraId="39788D57" w14:textId="100569B1" w:rsidR="00E60E1B" w:rsidRPr="000567AF" w:rsidRDefault="00E60E1B">
      <w:pPr>
        <w:rPr>
          <w:rFonts w:asciiTheme="majorHAnsi" w:hAnsiTheme="majorHAnsi" w:cstheme="majorHAnsi"/>
          <w:b/>
          <w:bCs/>
        </w:rPr>
      </w:pPr>
      <w:r w:rsidRPr="000567AF">
        <w:rPr>
          <w:rFonts w:asciiTheme="majorHAnsi" w:hAnsiTheme="majorHAnsi" w:cstheme="majorHAnsi"/>
          <w:b/>
          <w:bCs/>
        </w:rPr>
        <w:t xml:space="preserve">                         </w:t>
      </w:r>
    </w:p>
    <w:p w14:paraId="377E5F28" w14:textId="33E9F25F" w:rsidR="002351A3" w:rsidRPr="000567AF" w:rsidRDefault="002351A3">
      <w:pPr>
        <w:rPr>
          <w:rFonts w:asciiTheme="majorHAnsi" w:hAnsiTheme="majorHAnsi" w:cstheme="majorHAnsi"/>
          <w:b/>
          <w:bCs/>
        </w:rPr>
      </w:pPr>
      <w:r w:rsidRPr="000567AF">
        <w:rPr>
          <w:rFonts w:asciiTheme="majorHAnsi" w:hAnsiTheme="majorHAnsi" w:cstheme="majorHAnsi"/>
          <w:b/>
          <w:bCs/>
        </w:rPr>
        <w:t>4. There was a depreciation of plant and machinery to the extent of ₹250 crores.</w:t>
      </w:r>
    </w:p>
    <w:p w14:paraId="3103FF3A" w14:textId="01633050" w:rsidR="00E60E1B" w:rsidRPr="000567AF" w:rsidRDefault="00E60E1B">
      <w:pPr>
        <w:rPr>
          <w:rFonts w:asciiTheme="majorHAnsi" w:hAnsiTheme="majorHAnsi" w:cstheme="majorHAnsi"/>
          <w:b/>
          <w:bCs/>
        </w:rPr>
      </w:pPr>
      <w:r w:rsidRPr="000567AF">
        <w:rPr>
          <w:rFonts w:asciiTheme="majorHAnsi" w:hAnsiTheme="majorHAnsi" w:cstheme="majorHAnsi"/>
          <w:b/>
          <w:bCs/>
          <w:i/>
          <w:iCs/>
          <w:u w:val="single"/>
        </w:rPr>
        <w:t>Decrease to gross profit, no cashflow</w:t>
      </w:r>
      <w:r w:rsidRPr="000567AF">
        <w:rPr>
          <w:rFonts w:asciiTheme="majorHAnsi" w:hAnsiTheme="majorHAnsi" w:cstheme="majorHAnsi"/>
          <w:b/>
          <w:bCs/>
        </w:rPr>
        <w:t xml:space="preserve">           </w:t>
      </w:r>
    </w:p>
    <w:p w14:paraId="3C3CDA51" w14:textId="77777777" w:rsidR="00E60E1B" w:rsidRPr="000567AF" w:rsidRDefault="00062D97">
      <w:pPr>
        <w:rPr>
          <w:rFonts w:asciiTheme="majorHAnsi" w:hAnsiTheme="majorHAnsi" w:cstheme="majorHAnsi"/>
          <w:b/>
          <w:bCs/>
        </w:rPr>
      </w:pPr>
      <w:r w:rsidRPr="000567AF">
        <w:rPr>
          <w:rFonts w:asciiTheme="majorHAnsi" w:hAnsiTheme="majorHAnsi" w:cstheme="majorHAnsi"/>
          <w:b/>
          <w:bCs/>
        </w:rPr>
        <w:t xml:space="preserve">5. </w:t>
      </w:r>
      <w:r w:rsidR="003514E8" w:rsidRPr="000567AF">
        <w:rPr>
          <w:rFonts w:asciiTheme="majorHAnsi" w:hAnsiTheme="majorHAnsi" w:cstheme="majorHAnsi"/>
          <w:b/>
          <w:bCs/>
        </w:rPr>
        <w:t>It was decided to write off ₹200 crores due to EHFL defaulting.</w:t>
      </w:r>
    </w:p>
    <w:p w14:paraId="06154F29" w14:textId="05903B1B" w:rsidR="00062D97" w:rsidRPr="000567AF" w:rsidRDefault="00E60E1B">
      <w:pPr>
        <w:rPr>
          <w:rFonts w:asciiTheme="majorHAnsi" w:hAnsiTheme="majorHAnsi" w:cstheme="majorHAnsi"/>
          <w:b/>
          <w:bCs/>
        </w:rPr>
      </w:pPr>
      <w:r w:rsidRPr="000567AF">
        <w:rPr>
          <w:rFonts w:asciiTheme="majorHAnsi" w:hAnsiTheme="majorHAnsi" w:cstheme="majorHAnsi"/>
          <w:b/>
          <w:bCs/>
          <w:i/>
          <w:iCs/>
          <w:u w:val="single"/>
        </w:rPr>
        <w:t>Decrease to gross profit, no cashflow</w:t>
      </w:r>
      <w:r w:rsidRPr="000567AF">
        <w:rPr>
          <w:rFonts w:asciiTheme="majorHAnsi" w:hAnsiTheme="majorHAnsi" w:cstheme="majorHAnsi"/>
          <w:b/>
          <w:bCs/>
        </w:rPr>
        <w:t xml:space="preserve">           </w:t>
      </w:r>
      <w:r w:rsidR="003514E8" w:rsidRPr="000567AF">
        <w:rPr>
          <w:rFonts w:asciiTheme="majorHAnsi" w:hAnsiTheme="majorHAnsi" w:cstheme="majorHAnsi"/>
          <w:b/>
          <w:bCs/>
        </w:rPr>
        <w:t xml:space="preserve"> </w:t>
      </w:r>
    </w:p>
    <w:p w14:paraId="311A0149" w14:textId="681D5F44" w:rsidR="00757E6C" w:rsidRPr="000567AF" w:rsidRDefault="00D043A5">
      <w:pPr>
        <w:rPr>
          <w:rFonts w:asciiTheme="majorHAnsi" w:hAnsiTheme="majorHAnsi" w:cstheme="majorHAnsi"/>
        </w:rPr>
      </w:pPr>
      <w:r w:rsidRPr="000567AF">
        <w:rPr>
          <w:rFonts w:asciiTheme="majorHAnsi" w:hAnsiTheme="majorHAnsi" w:cstheme="majorHAnsi"/>
          <w:b/>
        </w:rPr>
        <w:t>Q8</w:t>
      </w:r>
      <w:r w:rsidR="000567AF" w:rsidRPr="000567AF">
        <w:rPr>
          <w:rFonts w:asciiTheme="majorHAnsi" w:hAnsiTheme="majorHAnsi" w:cstheme="majorHAnsi"/>
          <w:b/>
        </w:rPr>
        <w:t xml:space="preserve"> </w:t>
      </w:r>
      <w:r w:rsidR="00757E6C" w:rsidRPr="000567AF">
        <w:rPr>
          <w:rFonts w:asciiTheme="majorHAnsi" w:hAnsiTheme="majorHAnsi" w:cstheme="majorHAnsi"/>
          <w:bCs/>
        </w:rPr>
        <w:t>A financial regulator is an institution that supervises and controls a financial system. Their</w:t>
      </w:r>
      <w:r w:rsidR="00757E6C" w:rsidRPr="000567AF">
        <w:rPr>
          <w:rFonts w:asciiTheme="majorHAnsi" w:hAnsiTheme="majorHAnsi" w:cstheme="majorHAnsi"/>
        </w:rPr>
        <w:t xml:space="preserve"> objective is to guarantee fair and efficient markets and financial stability. </w:t>
      </w:r>
      <w:r w:rsidR="003E6396" w:rsidRPr="000567AF">
        <w:rPr>
          <w:rFonts w:asciiTheme="majorHAnsi" w:hAnsiTheme="majorHAnsi" w:cstheme="majorHAnsi"/>
        </w:rPr>
        <w:t xml:space="preserve">The main responsibilities </w:t>
      </w:r>
      <w:r w:rsidR="00A717E2" w:rsidRPr="000567AF">
        <w:rPr>
          <w:rFonts w:asciiTheme="majorHAnsi" w:hAnsiTheme="majorHAnsi" w:cstheme="majorHAnsi"/>
        </w:rPr>
        <w:t xml:space="preserve">of financial regulators are to enforce applicable laws, try to prevent </w:t>
      </w:r>
      <w:r w:rsidR="00D5035D" w:rsidRPr="000567AF">
        <w:rPr>
          <w:rFonts w:asciiTheme="majorHAnsi" w:hAnsiTheme="majorHAnsi" w:cstheme="majorHAnsi"/>
        </w:rPr>
        <w:t>cases of market manipulation, ensure the competence of financial service providers, execute regular inspections, protect traders and clients and investigate and prosecute misconduct, such as insider trading.</w:t>
      </w:r>
      <w:r w:rsidR="009513A2" w:rsidRPr="000567AF">
        <w:rPr>
          <w:rFonts w:asciiTheme="majorHAnsi" w:hAnsiTheme="majorHAnsi" w:cstheme="majorHAnsi"/>
        </w:rPr>
        <w:t xml:space="preserve"> Banks and brokers that are regulated are more secure to trade with, as they are obliged to meet certain standards and requirements</w:t>
      </w:r>
      <w:r w:rsidR="00503A64" w:rsidRPr="000567AF">
        <w:rPr>
          <w:rFonts w:asciiTheme="majorHAnsi" w:hAnsiTheme="majorHAnsi" w:cstheme="majorHAnsi"/>
        </w:rPr>
        <w:t>.</w:t>
      </w:r>
      <w:r w:rsidR="00D356C9" w:rsidRPr="000567AF">
        <w:rPr>
          <w:rFonts w:asciiTheme="majorHAnsi" w:hAnsiTheme="majorHAnsi" w:cstheme="majorHAnsi"/>
        </w:rPr>
        <w:t xml:space="preserve"> </w:t>
      </w:r>
    </w:p>
    <w:p w14:paraId="4DB02B8E" w14:textId="77777777" w:rsidR="00D356C9" w:rsidRPr="000567AF" w:rsidRDefault="00D356C9">
      <w:pPr>
        <w:rPr>
          <w:rFonts w:asciiTheme="majorHAnsi" w:hAnsiTheme="majorHAnsi" w:cstheme="majorHAnsi"/>
          <w:b/>
        </w:rPr>
      </w:pPr>
    </w:p>
    <w:p w14:paraId="2B3D89FD" w14:textId="148F5C35" w:rsidR="003A13C9" w:rsidRPr="000567AF" w:rsidRDefault="000567AF">
      <w:pPr>
        <w:rPr>
          <w:rFonts w:asciiTheme="majorHAnsi" w:hAnsiTheme="majorHAnsi" w:cstheme="majorHAnsi"/>
        </w:rPr>
      </w:pPr>
      <w:r w:rsidRPr="000567AF">
        <w:rPr>
          <w:rFonts w:asciiTheme="majorHAnsi" w:hAnsiTheme="majorHAnsi" w:cstheme="majorHAnsi"/>
          <w:b/>
        </w:rPr>
        <w:t xml:space="preserve">B </w:t>
      </w:r>
      <w:r w:rsidR="003A13C9" w:rsidRPr="000567AF">
        <w:rPr>
          <w:rFonts w:asciiTheme="majorHAnsi" w:hAnsiTheme="majorHAnsi" w:cstheme="majorHAnsi"/>
        </w:rPr>
        <w:t xml:space="preserve">India </w:t>
      </w:r>
      <w:r w:rsidR="00253324" w:rsidRPr="000567AF">
        <w:rPr>
          <w:rFonts w:asciiTheme="majorHAnsi" w:hAnsiTheme="majorHAnsi" w:cstheme="majorHAnsi"/>
        </w:rPr>
        <w:t xml:space="preserve">has two primary financial services regulators – the Reserve Bank of India (RBI) regulating India’s banking industry and the Securities &amp; Exchange Board of India (SEBI) regulating the capital markets industry. </w:t>
      </w:r>
    </w:p>
    <w:p w14:paraId="72E36BD3" w14:textId="77777777" w:rsidR="00056511" w:rsidRPr="000567AF" w:rsidRDefault="00056511">
      <w:pPr>
        <w:rPr>
          <w:rFonts w:asciiTheme="majorHAnsi" w:hAnsiTheme="majorHAnsi" w:cstheme="majorHAnsi"/>
          <w:b/>
        </w:rPr>
      </w:pPr>
      <w:r w:rsidRPr="000567AF">
        <w:rPr>
          <w:rFonts w:asciiTheme="majorHAnsi" w:hAnsiTheme="majorHAnsi" w:cstheme="majorHAnsi"/>
          <w:b/>
        </w:rPr>
        <w:t xml:space="preserve">c) Identify the regulatory authorities currently responsible for supervising each of the following: </w:t>
      </w:r>
    </w:p>
    <w:p w14:paraId="19AC7158" w14:textId="77777777" w:rsidR="00607FFB" w:rsidRPr="000567AF" w:rsidRDefault="00056511" w:rsidP="00607FFB">
      <w:pPr>
        <w:pStyle w:val="ListParagraph"/>
        <w:numPr>
          <w:ilvl w:val="0"/>
          <w:numId w:val="1"/>
        </w:numPr>
        <w:rPr>
          <w:rFonts w:asciiTheme="majorHAnsi" w:hAnsiTheme="majorHAnsi" w:cstheme="majorHAnsi"/>
          <w:b/>
        </w:rPr>
      </w:pPr>
      <w:r w:rsidRPr="000567AF">
        <w:rPr>
          <w:rFonts w:asciiTheme="majorHAnsi" w:hAnsiTheme="majorHAnsi" w:cstheme="majorHAnsi"/>
          <w:b/>
        </w:rPr>
        <w:t>Banks</w:t>
      </w:r>
      <w:r w:rsidR="00D356C9" w:rsidRPr="000567AF">
        <w:rPr>
          <w:rFonts w:asciiTheme="majorHAnsi" w:hAnsiTheme="majorHAnsi" w:cstheme="majorHAnsi"/>
          <w:b/>
        </w:rPr>
        <w:t xml:space="preserve"> – </w:t>
      </w:r>
      <w:r w:rsidR="00D356C9" w:rsidRPr="000567AF">
        <w:rPr>
          <w:rFonts w:asciiTheme="majorHAnsi" w:hAnsiTheme="majorHAnsi" w:cstheme="majorHAnsi"/>
        </w:rPr>
        <w:t>Reserve Bank of India</w:t>
      </w:r>
      <w:r w:rsidR="00D356C9" w:rsidRPr="000567AF">
        <w:rPr>
          <w:rFonts w:asciiTheme="majorHAnsi" w:hAnsiTheme="majorHAnsi" w:cstheme="majorHAnsi"/>
          <w:b/>
        </w:rPr>
        <w:t xml:space="preserve"> </w:t>
      </w:r>
    </w:p>
    <w:p w14:paraId="078501D5" w14:textId="77777777" w:rsidR="00607FFB" w:rsidRPr="000567AF" w:rsidRDefault="00056511" w:rsidP="00607FFB">
      <w:pPr>
        <w:pStyle w:val="ListParagraph"/>
        <w:numPr>
          <w:ilvl w:val="0"/>
          <w:numId w:val="1"/>
        </w:numPr>
        <w:rPr>
          <w:rFonts w:asciiTheme="majorHAnsi" w:hAnsiTheme="majorHAnsi" w:cstheme="majorHAnsi"/>
          <w:b/>
        </w:rPr>
      </w:pPr>
      <w:r w:rsidRPr="000567AF">
        <w:rPr>
          <w:rFonts w:asciiTheme="majorHAnsi" w:hAnsiTheme="majorHAnsi" w:cstheme="majorHAnsi"/>
          <w:b/>
        </w:rPr>
        <w:t>Superannuation Products</w:t>
      </w:r>
      <w:r w:rsidR="00607FFB" w:rsidRPr="000567AF">
        <w:rPr>
          <w:rFonts w:asciiTheme="majorHAnsi" w:hAnsiTheme="majorHAnsi" w:cstheme="majorHAnsi"/>
          <w:b/>
        </w:rPr>
        <w:t xml:space="preserve"> - </w:t>
      </w:r>
      <w:r w:rsidR="00607FFB" w:rsidRPr="000567AF">
        <w:rPr>
          <w:rFonts w:asciiTheme="majorHAnsi" w:hAnsiTheme="majorHAnsi" w:cstheme="majorHAnsi"/>
          <w:sz w:val="24"/>
          <w:szCs w:val="24"/>
        </w:rPr>
        <w:t>the Insurance Regulatory and Development Authority of India (IRDAI).</w:t>
      </w:r>
    </w:p>
    <w:p w14:paraId="14A3F916" w14:textId="77777777" w:rsidR="00056511" w:rsidRPr="000567AF" w:rsidRDefault="00056511" w:rsidP="00607FFB">
      <w:pPr>
        <w:pStyle w:val="ListParagraph"/>
        <w:numPr>
          <w:ilvl w:val="0"/>
          <w:numId w:val="1"/>
        </w:numPr>
        <w:rPr>
          <w:rFonts w:asciiTheme="majorHAnsi" w:hAnsiTheme="majorHAnsi" w:cstheme="majorHAnsi"/>
          <w:b/>
        </w:rPr>
      </w:pPr>
      <w:r w:rsidRPr="000567AF">
        <w:rPr>
          <w:rFonts w:asciiTheme="majorHAnsi" w:hAnsiTheme="majorHAnsi" w:cstheme="majorHAnsi"/>
          <w:b/>
        </w:rPr>
        <w:t>G</w:t>
      </w:r>
      <w:r w:rsidR="00607FFB" w:rsidRPr="000567AF">
        <w:rPr>
          <w:rFonts w:asciiTheme="majorHAnsi" w:hAnsiTheme="majorHAnsi" w:cstheme="majorHAnsi"/>
          <w:b/>
        </w:rPr>
        <w:t xml:space="preserve">eneral Insurance companies - </w:t>
      </w:r>
      <w:r w:rsidR="00607FFB" w:rsidRPr="000567AF">
        <w:rPr>
          <w:rFonts w:asciiTheme="majorHAnsi" w:hAnsiTheme="majorHAnsi" w:cstheme="majorHAnsi"/>
          <w:sz w:val="24"/>
          <w:szCs w:val="24"/>
        </w:rPr>
        <w:t>the Insurance Regulatory and Development Authority of India (IRDAI).</w:t>
      </w:r>
    </w:p>
    <w:p w14:paraId="71977703" w14:textId="77777777" w:rsidR="00C925B7" w:rsidRPr="000567AF" w:rsidRDefault="00C925B7" w:rsidP="00056511">
      <w:pPr>
        <w:pStyle w:val="ListParagraph"/>
        <w:numPr>
          <w:ilvl w:val="0"/>
          <w:numId w:val="1"/>
        </w:numPr>
        <w:rPr>
          <w:rFonts w:asciiTheme="majorHAnsi" w:hAnsiTheme="majorHAnsi" w:cstheme="majorHAnsi"/>
          <w:b/>
        </w:rPr>
      </w:pPr>
      <w:r w:rsidRPr="000567AF">
        <w:rPr>
          <w:rFonts w:asciiTheme="majorHAnsi" w:hAnsiTheme="majorHAnsi" w:cstheme="majorHAnsi"/>
          <w:b/>
        </w:rPr>
        <w:t>Stock brokers</w:t>
      </w:r>
      <w:r w:rsidR="00607FFB" w:rsidRPr="000567AF">
        <w:rPr>
          <w:rFonts w:asciiTheme="majorHAnsi" w:hAnsiTheme="majorHAnsi" w:cstheme="majorHAnsi"/>
          <w:b/>
        </w:rPr>
        <w:t xml:space="preserve"> – </w:t>
      </w:r>
      <w:r w:rsidR="00607FFB" w:rsidRPr="000567AF">
        <w:rPr>
          <w:rFonts w:asciiTheme="majorHAnsi" w:hAnsiTheme="majorHAnsi" w:cstheme="majorHAnsi"/>
        </w:rPr>
        <w:t>the Securities &amp; Exchange Board of India (SEBI)</w:t>
      </w:r>
    </w:p>
    <w:p w14:paraId="5ABDACDE" w14:textId="77777777" w:rsidR="00C925B7" w:rsidRPr="000567AF" w:rsidRDefault="00C925B7" w:rsidP="00056511">
      <w:pPr>
        <w:pStyle w:val="ListParagraph"/>
        <w:numPr>
          <w:ilvl w:val="0"/>
          <w:numId w:val="1"/>
        </w:numPr>
        <w:rPr>
          <w:rFonts w:asciiTheme="majorHAnsi" w:hAnsiTheme="majorHAnsi" w:cstheme="majorHAnsi"/>
          <w:b/>
        </w:rPr>
      </w:pPr>
      <w:r w:rsidRPr="000567AF">
        <w:rPr>
          <w:rFonts w:asciiTheme="majorHAnsi" w:hAnsiTheme="majorHAnsi" w:cstheme="majorHAnsi"/>
          <w:b/>
        </w:rPr>
        <w:t xml:space="preserve">Mutual Funds </w:t>
      </w:r>
      <w:r w:rsidR="00607FFB" w:rsidRPr="000567AF">
        <w:rPr>
          <w:rFonts w:asciiTheme="majorHAnsi" w:hAnsiTheme="majorHAnsi" w:cstheme="majorHAnsi"/>
          <w:b/>
        </w:rPr>
        <w:t xml:space="preserve">– </w:t>
      </w:r>
      <w:r w:rsidR="00607FFB" w:rsidRPr="000567AF">
        <w:rPr>
          <w:rFonts w:asciiTheme="majorHAnsi" w:hAnsiTheme="majorHAnsi" w:cstheme="majorHAnsi"/>
        </w:rPr>
        <w:t>the Securities &amp; Exchange Board of India (SEBI)</w:t>
      </w:r>
    </w:p>
    <w:p w14:paraId="399DA760" w14:textId="77777777" w:rsidR="00C925B7" w:rsidRPr="000567AF" w:rsidRDefault="00C925B7" w:rsidP="00607FFB">
      <w:pPr>
        <w:pStyle w:val="ListParagraph"/>
        <w:numPr>
          <w:ilvl w:val="0"/>
          <w:numId w:val="1"/>
        </w:numPr>
        <w:rPr>
          <w:rFonts w:asciiTheme="majorHAnsi" w:hAnsiTheme="majorHAnsi" w:cstheme="majorHAnsi"/>
          <w:b/>
        </w:rPr>
      </w:pPr>
      <w:r w:rsidRPr="000567AF">
        <w:rPr>
          <w:rFonts w:asciiTheme="majorHAnsi" w:hAnsiTheme="majorHAnsi" w:cstheme="majorHAnsi"/>
          <w:b/>
        </w:rPr>
        <w:t xml:space="preserve">Market for listed securities </w:t>
      </w:r>
      <w:r w:rsidR="00607FFB" w:rsidRPr="000567AF">
        <w:rPr>
          <w:rFonts w:asciiTheme="majorHAnsi" w:hAnsiTheme="majorHAnsi" w:cstheme="majorHAnsi"/>
          <w:b/>
        </w:rPr>
        <w:t xml:space="preserve">- </w:t>
      </w:r>
      <w:r w:rsidR="00607FFB" w:rsidRPr="000567AF">
        <w:rPr>
          <w:rFonts w:asciiTheme="majorHAnsi" w:hAnsiTheme="majorHAnsi" w:cstheme="majorHAnsi"/>
        </w:rPr>
        <w:t>the Securities &amp; Exchange Board of India (SEBI)</w:t>
      </w:r>
    </w:p>
    <w:p w14:paraId="702AE8D6" w14:textId="77777777" w:rsidR="00C925B7" w:rsidRPr="000567AF" w:rsidRDefault="00C925B7" w:rsidP="00056511">
      <w:pPr>
        <w:pStyle w:val="ListParagraph"/>
        <w:numPr>
          <w:ilvl w:val="0"/>
          <w:numId w:val="1"/>
        </w:numPr>
        <w:rPr>
          <w:rFonts w:asciiTheme="majorHAnsi" w:hAnsiTheme="majorHAnsi" w:cstheme="majorHAnsi"/>
          <w:b/>
        </w:rPr>
      </w:pPr>
      <w:r w:rsidRPr="000567AF">
        <w:rPr>
          <w:rFonts w:asciiTheme="majorHAnsi" w:hAnsiTheme="majorHAnsi" w:cstheme="majorHAnsi"/>
          <w:b/>
        </w:rPr>
        <w:t xml:space="preserve">Foreign exchange dealers </w:t>
      </w:r>
      <w:r w:rsidR="00607FFB" w:rsidRPr="000567AF">
        <w:rPr>
          <w:rFonts w:asciiTheme="majorHAnsi" w:hAnsiTheme="majorHAnsi" w:cstheme="majorHAnsi"/>
          <w:b/>
        </w:rPr>
        <w:t xml:space="preserve">– </w:t>
      </w:r>
      <w:r w:rsidR="00607FFB" w:rsidRPr="000567AF">
        <w:rPr>
          <w:rFonts w:asciiTheme="majorHAnsi" w:hAnsiTheme="majorHAnsi" w:cstheme="majorHAnsi"/>
        </w:rPr>
        <w:t xml:space="preserve">Reserve Bank of India (RBI) </w:t>
      </w:r>
    </w:p>
    <w:p w14:paraId="39334737" w14:textId="77777777" w:rsidR="00C925B7" w:rsidRPr="000567AF" w:rsidRDefault="00C925B7" w:rsidP="00056511">
      <w:pPr>
        <w:pStyle w:val="ListParagraph"/>
        <w:numPr>
          <w:ilvl w:val="0"/>
          <w:numId w:val="1"/>
        </w:numPr>
        <w:rPr>
          <w:rFonts w:asciiTheme="majorHAnsi" w:hAnsiTheme="majorHAnsi" w:cstheme="majorHAnsi"/>
          <w:b/>
        </w:rPr>
      </w:pPr>
      <w:r w:rsidRPr="000567AF">
        <w:rPr>
          <w:rFonts w:asciiTheme="majorHAnsi" w:hAnsiTheme="majorHAnsi" w:cstheme="majorHAnsi"/>
          <w:b/>
        </w:rPr>
        <w:t>Money changers</w:t>
      </w:r>
      <w:r w:rsidR="00E53CE0" w:rsidRPr="000567AF">
        <w:rPr>
          <w:rFonts w:asciiTheme="majorHAnsi" w:hAnsiTheme="majorHAnsi" w:cstheme="majorHAnsi"/>
          <w:b/>
        </w:rPr>
        <w:t xml:space="preserve"> – </w:t>
      </w:r>
      <w:r w:rsidR="00E53CE0" w:rsidRPr="000567AF">
        <w:rPr>
          <w:rFonts w:asciiTheme="majorHAnsi" w:hAnsiTheme="majorHAnsi" w:cstheme="majorHAnsi"/>
        </w:rPr>
        <w:t xml:space="preserve">Reserve </w:t>
      </w:r>
      <w:r w:rsidR="0051554A" w:rsidRPr="000567AF">
        <w:rPr>
          <w:rFonts w:asciiTheme="majorHAnsi" w:hAnsiTheme="majorHAnsi" w:cstheme="majorHAnsi"/>
        </w:rPr>
        <w:t xml:space="preserve">Bank of </w:t>
      </w:r>
      <w:r w:rsidR="00E53CE0" w:rsidRPr="000567AF">
        <w:rPr>
          <w:rFonts w:asciiTheme="majorHAnsi" w:hAnsiTheme="majorHAnsi" w:cstheme="majorHAnsi"/>
        </w:rPr>
        <w:t xml:space="preserve">India (RBI) </w:t>
      </w:r>
    </w:p>
    <w:p w14:paraId="59A0BFAB" w14:textId="18542BE6" w:rsidR="00E11271" w:rsidRPr="000567AF" w:rsidRDefault="00C925B7" w:rsidP="000567AF">
      <w:pPr>
        <w:rPr>
          <w:rFonts w:asciiTheme="majorHAnsi" w:hAnsiTheme="majorHAnsi" w:cstheme="majorHAnsi"/>
        </w:rPr>
      </w:pPr>
      <w:r w:rsidRPr="000567AF">
        <w:rPr>
          <w:rFonts w:asciiTheme="majorHAnsi" w:hAnsiTheme="majorHAnsi" w:cstheme="majorHAnsi"/>
          <w:b/>
        </w:rPr>
        <w:t>Q9</w:t>
      </w:r>
      <w:r w:rsidR="000567AF" w:rsidRPr="000567AF">
        <w:rPr>
          <w:rFonts w:asciiTheme="majorHAnsi" w:hAnsiTheme="majorHAnsi" w:cstheme="majorHAnsi"/>
          <w:b/>
        </w:rPr>
        <w:t xml:space="preserve"> </w:t>
      </w:r>
      <w:r w:rsidR="00E11271" w:rsidRPr="000567AF">
        <w:rPr>
          <w:rFonts w:asciiTheme="majorHAnsi" w:hAnsiTheme="majorHAnsi" w:cstheme="majorHAnsi"/>
        </w:rPr>
        <w:t xml:space="preserve">Under that concept, non-current assets generally appear in the statement of financial position at their original cost less depreciation to date, subject to a possible impairment write-down. </w:t>
      </w:r>
    </w:p>
    <w:p w14:paraId="4D5B4D16" w14:textId="1A22A2CC" w:rsidR="0011401F" w:rsidRPr="000567AF" w:rsidRDefault="00E11271" w:rsidP="00C925B7">
      <w:pPr>
        <w:rPr>
          <w:rFonts w:asciiTheme="majorHAnsi" w:hAnsiTheme="majorHAnsi" w:cstheme="majorHAnsi"/>
          <w:color w:val="000000"/>
        </w:rPr>
      </w:pPr>
      <w:r w:rsidRPr="000567AF">
        <w:rPr>
          <w:rFonts w:asciiTheme="majorHAnsi" w:hAnsiTheme="majorHAnsi" w:cstheme="majorHAnsi"/>
        </w:rPr>
        <w:t>The cost concept is being gradually phased out to provide more scope for realism in the financial statements. For example, tangible non-current assets such as property, plant and equipment can be shown at their fair value rather than their historical costs</w:t>
      </w:r>
      <w:r w:rsidRPr="000567AF">
        <w:rPr>
          <w:rFonts w:asciiTheme="majorHAnsi" w:hAnsiTheme="majorHAnsi" w:cstheme="majorHAnsi"/>
          <w:color w:val="000000"/>
        </w:rPr>
        <w:t>.</w:t>
      </w:r>
    </w:p>
    <w:p w14:paraId="0CEF3ADA" w14:textId="62D87D6E" w:rsidR="00E11271" w:rsidRPr="000567AF" w:rsidRDefault="00E11271" w:rsidP="00E11271">
      <w:pPr>
        <w:pStyle w:val="Default"/>
        <w:rPr>
          <w:rFonts w:asciiTheme="majorHAnsi" w:hAnsiTheme="majorHAnsi" w:cstheme="majorHAnsi"/>
        </w:rPr>
      </w:pPr>
      <w:r w:rsidRPr="000567AF">
        <w:rPr>
          <w:rFonts w:asciiTheme="majorHAnsi" w:hAnsiTheme="majorHAnsi" w:cstheme="majorHAnsi"/>
          <w:b/>
          <w:bCs/>
          <w:sz w:val="22"/>
          <w:szCs w:val="22"/>
        </w:rPr>
        <w:t>Going Concern Concept:</w:t>
      </w:r>
      <w:r w:rsidRPr="000567AF">
        <w:rPr>
          <w:rFonts w:asciiTheme="majorHAnsi" w:hAnsiTheme="majorHAnsi" w:cstheme="majorHAnsi"/>
          <w:b/>
          <w:bCs/>
        </w:rPr>
        <w:t xml:space="preserve"> </w:t>
      </w:r>
      <w:r w:rsidRPr="000567AF">
        <w:rPr>
          <w:rFonts w:asciiTheme="majorHAnsi" w:hAnsiTheme="majorHAnsi" w:cstheme="majorHAnsi"/>
          <w:sz w:val="22"/>
          <w:szCs w:val="22"/>
        </w:rPr>
        <w:t>it is an assumption that a business will continue indefinitely in its present form</w:t>
      </w:r>
      <w:r w:rsidR="00776F06" w:rsidRPr="000567AF">
        <w:rPr>
          <w:rFonts w:asciiTheme="majorHAnsi" w:hAnsiTheme="majorHAnsi" w:cstheme="majorHAnsi"/>
          <w:sz w:val="22"/>
          <w:szCs w:val="22"/>
        </w:rPr>
        <w:t>, and is used to</w:t>
      </w:r>
      <w:r w:rsidRPr="000567AF">
        <w:rPr>
          <w:rFonts w:asciiTheme="majorHAnsi" w:hAnsiTheme="majorHAnsi" w:cstheme="majorHAnsi"/>
          <w:sz w:val="22"/>
          <w:szCs w:val="22"/>
        </w:rPr>
        <w:t xml:space="preserve"> support the cost concept of accounting</w:t>
      </w:r>
    </w:p>
    <w:p w14:paraId="32900AD3" w14:textId="50B180DB" w:rsidR="00E11271" w:rsidRPr="000567AF" w:rsidRDefault="00E11271" w:rsidP="00C925B7">
      <w:pPr>
        <w:rPr>
          <w:rFonts w:asciiTheme="majorHAnsi" w:hAnsiTheme="majorHAnsi" w:cstheme="majorHAnsi"/>
          <w:b/>
          <w:bCs/>
        </w:rPr>
      </w:pPr>
    </w:p>
    <w:p w14:paraId="4C3DA392" w14:textId="4DDA8CEA" w:rsidR="004764E6" w:rsidRPr="000567AF" w:rsidRDefault="00C925B7" w:rsidP="004764E6">
      <w:pPr>
        <w:rPr>
          <w:rFonts w:asciiTheme="majorHAnsi" w:hAnsiTheme="majorHAnsi" w:cstheme="majorHAnsi"/>
        </w:rPr>
      </w:pPr>
      <w:r w:rsidRPr="000567AF">
        <w:rPr>
          <w:rFonts w:asciiTheme="majorHAnsi" w:hAnsiTheme="majorHAnsi" w:cstheme="majorHAnsi"/>
          <w:b/>
        </w:rPr>
        <w:t xml:space="preserve">b) </w:t>
      </w:r>
      <w:r w:rsidR="004764E6" w:rsidRPr="000567AF">
        <w:rPr>
          <w:rFonts w:asciiTheme="majorHAnsi" w:hAnsiTheme="majorHAnsi" w:cstheme="majorHAnsi"/>
        </w:rPr>
        <w:t>IAS 8(International Accounting Standards) states that in the absence of a specific rule to specify an appropriate accounting</w:t>
      </w:r>
      <w:r w:rsidR="00AF784E" w:rsidRPr="000567AF">
        <w:rPr>
          <w:rFonts w:asciiTheme="majorHAnsi" w:hAnsiTheme="majorHAnsi" w:cstheme="majorHAnsi"/>
        </w:rPr>
        <w:t xml:space="preserve"> </w:t>
      </w:r>
      <w:r w:rsidR="004764E6" w:rsidRPr="000567AF">
        <w:rPr>
          <w:rFonts w:asciiTheme="majorHAnsi" w:hAnsiTheme="majorHAnsi" w:cstheme="majorHAnsi"/>
        </w:rPr>
        <w:t>policy, the company should select policies on the basis that they yield</w:t>
      </w:r>
      <w:r w:rsidR="00AF784E" w:rsidRPr="000567AF">
        <w:rPr>
          <w:rFonts w:asciiTheme="majorHAnsi" w:hAnsiTheme="majorHAnsi" w:cstheme="majorHAnsi"/>
        </w:rPr>
        <w:t xml:space="preserve"> </w:t>
      </w:r>
      <w:r w:rsidR="004764E6" w:rsidRPr="000567AF">
        <w:rPr>
          <w:rFonts w:asciiTheme="majorHAnsi" w:hAnsiTheme="majorHAnsi" w:cstheme="majorHAnsi"/>
        </w:rPr>
        <w:t>information that is</w:t>
      </w:r>
      <w:r w:rsidR="00AF784E" w:rsidRPr="000567AF">
        <w:rPr>
          <w:rFonts w:asciiTheme="majorHAnsi" w:hAnsiTheme="majorHAnsi" w:cstheme="majorHAnsi"/>
        </w:rPr>
        <w:t xml:space="preserve"> </w:t>
      </w:r>
      <w:r w:rsidR="004764E6" w:rsidRPr="000567AF">
        <w:rPr>
          <w:rFonts w:asciiTheme="majorHAnsi" w:hAnsiTheme="majorHAnsi" w:cstheme="majorHAnsi"/>
        </w:rPr>
        <w:t>both relevant and reliable.</w:t>
      </w:r>
    </w:p>
    <w:p w14:paraId="49317EEB" w14:textId="23F86D03" w:rsidR="004764E6" w:rsidRPr="000567AF" w:rsidRDefault="004764E6" w:rsidP="004764E6">
      <w:pPr>
        <w:rPr>
          <w:rFonts w:asciiTheme="majorHAnsi" w:hAnsiTheme="majorHAnsi" w:cstheme="majorHAnsi"/>
        </w:rPr>
      </w:pPr>
      <w:r w:rsidRPr="000567AF">
        <w:rPr>
          <w:rFonts w:asciiTheme="majorHAnsi" w:hAnsiTheme="majorHAnsi" w:cstheme="majorHAnsi"/>
        </w:rPr>
        <w:lastRenderedPageBreak/>
        <w:t>Information is relevant if it informs decisions taken by users of the financial statements.</w:t>
      </w:r>
    </w:p>
    <w:p w14:paraId="516152D4" w14:textId="77777777" w:rsidR="000567AF" w:rsidRPr="000567AF" w:rsidRDefault="000567AF" w:rsidP="000567AF">
      <w:pPr>
        <w:rPr>
          <w:rFonts w:asciiTheme="majorHAnsi" w:hAnsiTheme="majorHAnsi" w:cstheme="majorHAnsi"/>
          <w:b/>
        </w:rPr>
      </w:pPr>
    </w:p>
    <w:p w14:paraId="05B95785" w14:textId="77777777" w:rsidR="000567AF" w:rsidRPr="000567AF" w:rsidRDefault="000567AF" w:rsidP="000567AF">
      <w:pPr>
        <w:rPr>
          <w:rFonts w:asciiTheme="majorHAnsi" w:hAnsiTheme="majorHAnsi" w:cstheme="majorHAnsi"/>
          <w:b/>
        </w:rPr>
      </w:pPr>
    </w:p>
    <w:p w14:paraId="72A72180" w14:textId="325F4436" w:rsidR="002D01E6" w:rsidRPr="000567AF" w:rsidRDefault="00C925B7" w:rsidP="002D01E6">
      <w:pPr>
        <w:rPr>
          <w:rFonts w:asciiTheme="majorHAnsi" w:hAnsiTheme="majorHAnsi" w:cstheme="majorHAnsi"/>
          <w:b/>
        </w:rPr>
      </w:pPr>
      <w:r w:rsidRPr="000567AF">
        <w:rPr>
          <w:rFonts w:asciiTheme="majorHAnsi" w:hAnsiTheme="majorHAnsi" w:cstheme="majorHAnsi"/>
          <w:b/>
        </w:rPr>
        <w:t xml:space="preserve">c) </w:t>
      </w:r>
      <w:r w:rsidR="002D01E6" w:rsidRPr="000567AF">
        <w:rPr>
          <w:rFonts w:asciiTheme="majorHAnsi" w:hAnsiTheme="majorHAnsi" w:cstheme="majorHAnsi"/>
        </w:rPr>
        <w:t>Most of the optimism in making accounting choices is quite visible to the analysts and market participants. For example, companies publish their accounting policies and so it is possible to tell whether a particular approach has been followed and accordingly opinions formed about the price. The stock market examines information carefully to ensure that it does not misprice securities. If shares are overpriced, then there will be opportunities for astute market participants to make profits by identifying the overpriced companies and selling shares.</w:t>
      </w:r>
      <w:r w:rsidR="002D01E6" w:rsidRPr="000567AF">
        <w:rPr>
          <w:rFonts w:asciiTheme="majorHAnsi" w:hAnsiTheme="majorHAnsi" w:cstheme="majorHAnsi"/>
          <w:b/>
        </w:rPr>
        <w:t xml:space="preserve"> </w:t>
      </w:r>
      <w:r w:rsidR="002D01E6" w:rsidRPr="000567AF">
        <w:rPr>
          <w:rFonts w:asciiTheme="majorHAnsi" w:hAnsiTheme="majorHAnsi" w:cstheme="majorHAnsi"/>
        </w:rPr>
        <w:t>Market forces would push the shares down and these activities would also draw attention to the distortion.</w:t>
      </w:r>
      <w:r w:rsidR="002D01E6" w:rsidRPr="000567AF">
        <w:rPr>
          <w:rFonts w:asciiTheme="majorHAnsi" w:hAnsiTheme="majorHAnsi" w:cstheme="majorHAnsi"/>
          <w:b/>
        </w:rPr>
        <w:t xml:space="preserve"> </w:t>
      </w:r>
      <w:r w:rsidR="002D01E6" w:rsidRPr="000567AF">
        <w:rPr>
          <w:rFonts w:asciiTheme="majorHAnsi" w:hAnsiTheme="majorHAnsi" w:cstheme="majorHAnsi"/>
        </w:rPr>
        <w:t>Markets usually reward companies with good corporate governance which is also reflected from the conservativeness of estimates and accounting policies. Conservative policies also provide ability to the company to present more smooth results in volatile times which can work in favour of its stock price.</w:t>
      </w:r>
    </w:p>
    <w:p w14:paraId="605D197D" w14:textId="10BD3393" w:rsidR="00B75F7D" w:rsidRPr="000567AF" w:rsidRDefault="00B75F7D" w:rsidP="00B75F7D">
      <w:pPr>
        <w:autoSpaceDE w:val="0"/>
        <w:autoSpaceDN w:val="0"/>
        <w:adjustRightInd w:val="0"/>
        <w:spacing w:after="0" w:line="240" w:lineRule="auto"/>
        <w:rPr>
          <w:rFonts w:asciiTheme="majorHAnsi" w:hAnsiTheme="majorHAnsi" w:cstheme="majorHAnsi"/>
          <w:b/>
        </w:rPr>
      </w:pPr>
    </w:p>
    <w:p w14:paraId="1A13334B" w14:textId="1ABB2628" w:rsidR="007A557B" w:rsidRPr="000567AF" w:rsidRDefault="007A557B" w:rsidP="000567AF">
      <w:pPr>
        <w:rPr>
          <w:rFonts w:asciiTheme="majorHAnsi" w:hAnsiTheme="majorHAnsi" w:cstheme="majorHAnsi"/>
          <w:b/>
        </w:rPr>
      </w:pPr>
      <w:r w:rsidRPr="000567AF">
        <w:rPr>
          <w:rFonts w:asciiTheme="majorHAnsi" w:hAnsiTheme="majorHAnsi" w:cstheme="majorHAnsi"/>
          <w:b/>
        </w:rPr>
        <w:t>Q10</w:t>
      </w:r>
      <w:r w:rsidR="000567AF" w:rsidRPr="000567AF">
        <w:rPr>
          <w:rFonts w:asciiTheme="majorHAnsi" w:hAnsiTheme="majorHAnsi" w:cstheme="majorHAnsi"/>
          <w:b/>
        </w:rPr>
        <w:t xml:space="preserve"> </w:t>
      </w:r>
      <w:r w:rsidRPr="000567AF">
        <w:rPr>
          <w:rFonts w:asciiTheme="majorHAnsi" w:hAnsiTheme="majorHAnsi" w:cstheme="majorHAnsi"/>
          <w:b/>
        </w:rPr>
        <w:t>Investment Bank</w:t>
      </w:r>
    </w:p>
    <w:p w14:paraId="6DA391DF" w14:textId="77777777" w:rsidR="003B390D" w:rsidRPr="000567AF" w:rsidRDefault="003B390D" w:rsidP="003B390D">
      <w:pPr>
        <w:pStyle w:val="ListParagraph"/>
        <w:numPr>
          <w:ilvl w:val="0"/>
          <w:numId w:val="7"/>
        </w:numPr>
        <w:rPr>
          <w:rFonts w:asciiTheme="majorHAnsi" w:hAnsiTheme="majorHAnsi" w:cstheme="majorHAnsi"/>
          <w:sz w:val="24"/>
          <w:szCs w:val="24"/>
          <w:u w:val="single"/>
        </w:rPr>
      </w:pPr>
      <w:r w:rsidRPr="000567AF">
        <w:rPr>
          <w:rFonts w:asciiTheme="majorHAnsi" w:hAnsiTheme="majorHAnsi" w:cstheme="majorHAnsi"/>
          <w:sz w:val="24"/>
          <w:szCs w:val="24"/>
          <w:u w:val="single"/>
        </w:rPr>
        <w:t xml:space="preserve">Role: </w:t>
      </w:r>
      <w:r w:rsidRPr="000567AF">
        <w:rPr>
          <w:rFonts w:asciiTheme="majorHAnsi" w:hAnsiTheme="majorHAnsi" w:cstheme="majorHAnsi"/>
          <w:sz w:val="24"/>
          <w:szCs w:val="24"/>
        </w:rPr>
        <w:t>Investment banks are best known for their work as intermediaries between a corporation and the financial markets. That is, they help corporations issue shares of stock in an IPO or an additional stock offering. They also arrange debt financing for corporations by finding large-scale investors for corporate bonds. The investment bank's advisory role begins with pre-underwriting counselling and continues after the distribution of securities. The investment bank is responsible for examining a company’s financial statements for accuracy and publishing a prospectus that describes the offering in detail to investors before the securities are available for purchase. Investment bank clients include corporations, pension funds, other financial institutions, governments, and hedge funds.</w:t>
      </w:r>
    </w:p>
    <w:p w14:paraId="371FF8BF" w14:textId="77777777" w:rsidR="003B390D" w:rsidRPr="000567AF" w:rsidRDefault="003B390D" w:rsidP="003B390D">
      <w:pPr>
        <w:pStyle w:val="ListParagraph"/>
        <w:numPr>
          <w:ilvl w:val="0"/>
          <w:numId w:val="7"/>
        </w:numPr>
        <w:rPr>
          <w:rFonts w:asciiTheme="majorHAnsi" w:hAnsiTheme="majorHAnsi" w:cstheme="majorHAnsi"/>
          <w:sz w:val="24"/>
          <w:szCs w:val="24"/>
          <w:u w:val="single"/>
        </w:rPr>
      </w:pPr>
      <w:r w:rsidRPr="000567AF">
        <w:rPr>
          <w:rFonts w:asciiTheme="majorHAnsi" w:hAnsiTheme="majorHAnsi" w:cstheme="majorHAnsi"/>
          <w:sz w:val="24"/>
          <w:szCs w:val="24"/>
          <w:u w:val="single"/>
        </w:rPr>
        <w:t xml:space="preserve">Sources of funds: </w:t>
      </w:r>
      <w:r w:rsidRPr="000567AF">
        <w:rPr>
          <w:rFonts w:asciiTheme="majorHAnsi" w:hAnsiTheme="majorHAnsi" w:cstheme="majorHAnsi"/>
          <w:sz w:val="24"/>
          <w:szCs w:val="24"/>
        </w:rPr>
        <w:t>A</w:t>
      </w:r>
      <w:r w:rsidRPr="000567AF">
        <w:rPr>
          <w:rFonts w:asciiTheme="majorHAnsi" w:hAnsiTheme="majorHAnsi" w:cstheme="majorHAnsi"/>
          <w:color w:val="505050"/>
          <w:shd w:val="clear" w:color="auto" w:fill="FFFFFF"/>
        </w:rPr>
        <w:t xml:space="preserve"> </w:t>
      </w:r>
      <w:r w:rsidRPr="000567AF">
        <w:rPr>
          <w:rFonts w:asciiTheme="majorHAnsi" w:hAnsiTheme="majorHAnsi" w:cstheme="majorHAnsi"/>
          <w:sz w:val="24"/>
          <w:szCs w:val="24"/>
        </w:rPr>
        <w:t>bank’s sources and uses of funds are embodied in its statement of financial position. The sources of funds are primarily deposits, borrowed capital and shareholders’ funds while the primary uses are loans and investments, defensive assets and required reserves. A bank’s health is measured by CAMELS. Specifically, Capital serves as buffer against losses, deposits are the primary source of liquidity while the quality of assets is enhanced when provisioning on possible losses do not crystallize. A tractable model of the banking firm is a prerequisite to economy-wide analysis of financial and monetary systems that rely heavily on intermediation and inside money.</w:t>
      </w:r>
    </w:p>
    <w:p w14:paraId="60967E0B" w14:textId="77777777" w:rsidR="003B390D" w:rsidRPr="000567AF" w:rsidRDefault="003B390D" w:rsidP="003B390D">
      <w:pPr>
        <w:pStyle w:val="ListParagraph"/>
        <w:numPr>
          <w:ilvl w:val="0"/>
          <w:numId w:val="7"/>
        </w:numPr>
        <w:rPr>
          <w:rFonts w:asciiTheme="majorHAnsi" w:hAnsiTheme="majorHAnsi" w:cstheme="majorHAnsi"/>
          <w:sz w:val="24"/>
          <w:szCs w:val="24"/>
        </w:rPr>
      </w:pPr>
      <w:r w:rsidRPr="000567AF">
        <w:rPr>
          <w:rFonts w:asciiTheme="majorHAnsi" w:hAnsiTheme="majorHAnsi" w:cstheme="majorHAnsi"/>
          <w:sz w:val="24"/>
          <w:szCs w:val="24"/>
          <w:u w:val="single"/>
        </w:rPr>
        <w:t>Application of funds</w:t>
      </w:r>
      <w:r w:rsidRPr="000567AF">
        <w:rPr>
          <w:rFonts w:asciiTheme="majorHAnsi" w:hAnsiTheme="majorHAnsi" w:cstheme="majorHAnsi"/>
          <w:sz w:val="24"/>
          <w:szCs w:val="24"/>
        </w:rPr>
        <w:t>: Receive fees for advice, underwriting commission, fund management, Eurobond dealing, trusteeship and bill acceptance. Borrow money by running banking accounts and issuing certificates of deposit.</w:t>
      </w:r>
    </w:p>
    <w:p w14:paraId="086E50DA" w14:textId="77777777" w:rsidR="00CD5DFC" w:rsidRPr="000567AF" w:rsidRDefault="00F85826" w:rsidP="00CD5DFC">
      <w:pPr>
        <w:pStyle w:val="ListParagraph"/>
        <w:numPr>
          <w:ilvl w:val="0"/>
          <w:numId w:val="2"/>
        </w:numPr>
        <w:rPr>
          <w:rFonts w:asciiTheme="majorHAnsi" w:hAnsiTheme="majorHAnsi" w:cstheme="majorHAnsi"/>
          <w:b/>
          <w:sz w:val="24"/>
          <w:szCs w:val="24"/>
        </w:rPr>
      </w:pPr>
      <w:r w:rsidRPr="000567AF">
        <w:rPr>
          <w:rFonts w:asciiTheme="majorHAnsi" w:hAnsiTheme="majorHAnsi" w:cstheme="majorHAnsi"/>
          <w:b/>
          <w:sz w:val="24"/>
          <w:szCs w:val="24"/>
        </w:rPr>
        <w:t xml:space="preserve">Pension Scheme: </w:t>
      </w:r>
    </w:p>
    <w:p w14:paraId="0B208168" w14:textId="77777777" w:rsidR="00F85826" w:rsidRPr="000567AF" w:rsidRDefault="00F85826" w:rsidP="00F85826">
      <w:pPr>
        <w:pStyle w:val="NormalWeb"/>
        <w:numPr>
          <w:ilvl w:val="0"/>
          <w:numId w:val="10"/>
        </w:numPr>
        <w:spacing w:before="120" w:beforeAutospacing="0" w:after="120" w:afterAutospacing="0"/>
        <w:jc w:val="both"/>
        <w:rPr>
          <w:rFonts w:asciiTheme="majorHAnsi" w:eastAsiaTheme="minorHAnsi" w:hAnsiTheme="majorHAnsi" w:cstheme="majorHAnsi"/>
          <w:lang w:eastAsia="en-US"/>
        </w:rPr>
      </w:pPr>
      <w:r w:rsidRPr="000567AF">
        <w:rPr>
          <w:rFonts w:asciiTheme="majorHAnsi" w:eastAsiaTheme="minorHAnsi" w:hAnsiTheme="majorHAnsi" w:cstheme="majorHAnsi"/>
          <w:u w:val="single"/>
          <w:lang w:eastAsia="en-US"/>
        </w:rPr>
        <w:t>Role:</w:t>
      </w:r>
      <w:r w:rsidRPr="000567AF">
        <w:rPr>
          <w:rFonts w:asciiTheme="majorHAnsi" w:eastAsiaTheme="minorHAnsi" w:hAnsiTheme="majorHAnsi" w:cstheme="majorHAnsi"/>
          <w:lang w:eastAsia="en-US"/>
        </w:rPr>
        <w:t xml:space="preserve"> Pension funds are collective investment undertakings (UCITs) that manage employee savings and retirement. Their primary objective is to provide pensioners who have reached retirement age with income in the form of a lifetime pension or capital. Unlike public pension funds managed on a pay-as-you-go basis, pension </w:t>
      </w:r>
      <w:r w:rsidRPr="000567AF">
        <w:rPr>
          <w:rFonts w:asciiTheme="majorHAnsi" w:eastAsiaTheme="minorHAnsi" w:hAnsiTheme="majorHAnsi" w:cstheme="majorHAnsi"/>
          <w:lang w:eastAsia="en-US"/>
        </w:rPr>
        <w:lastRenderedPageBreak/>
        <w:t>funds are managed by capitalization. When members reach retirement age, they are provided with either an annuity or a capital paid by the fund. At the core of pension fund operations are three types of activity: premium collection, investment of sums collected, benefits paid.</w:t>
      </w:r>
    </w:p>
    <w:p w14:paraId="79112DD2" w14:textId="77777777" w:rsidR="00F85826" w:rsidRPr="000567AF" w:rsidRDefault="00F85826" w:rsidP="00F85826">
      <w:pPr>
        <w:pStyle w:val="ListParagraph"/>
        <w:numPr>
          <w:ilvl w:val="0"/>
          <w:numId w:val="10"/>
        </w:numPr>
        <w:shd w:val="clear" w:color="auto" w:fill="FFFFFF"/>
        <w:spacing w:before="100" w:beforeAutospacing="1" w:after="100" w:afterAutospacing="1" w:line="240" w:lineRule="auto"/>
        <w:rPr>
          <w:rFonts w:asciiTheme="majorHAnsi" w:hAnsiTheme="majorHAnsi" w:cstheme="majorHAnsi"/>
          <w:sz w:val="24"/>
          <w:szCs w:val="24"/>
        </w:rPr>
      </w:pPr>
      <w:r w:rsidRPr="000567AF">
        <w:rPr>
          <w:rFonts w:asciiTheme="majorHAnsi" w:hAnsiTheme="majorHAnsi" w:cstheme="majorHAnsi"/>
          <w:sz w:val="24"/>
          <w:szCs w:val="24"/>
          <w:u w:val="single"/>
        </w:rPr>
        <w:t>Sources of funds:</w:t>
      </w:r>
      <w:r w:rsidRPr="000567AF">
        <w:rPr>
          <w:rFonts w:asciiTheme="majorHAnsi" w:hAnsiTheme="majorHAnsi" w:cstheme="majorHAnsi"/>
          <w:sz w:val="24"/>
          <w:szCs w:val="24"/>
        </w:rPr>
        <w:t xml:space="preserve"> Pension plans are funded by contributions by employers and employees, the former pay the largest share. Public employee pension plans tend to be more generous than plans from private employers. Private pension plans are subject to governmental regulation via ERISA.</w:t>
      </w:r>
    </w:p>
    <w:p w14:paraId="2317D697" w14:textId="77777777" w:rsidR="00F85826" w:rsidRPr="000567AF" w:rsidRDefault="00F85826" w:rsidP="00F85826">
      <w:pPr>
        <w:pStyle w:val="ListParagraph"/>
        <w:numPr>
          <w:ilvl w:val="0"/>
          <w:numId w:val="10"/>
        </w:numPr>
        <w:shd w:val="clear" w:color="auto" w:fill="FFFFFF"/>
        <w:spacing w:before="100" w:beforeAutospacing="1" w:after="100" w:afterAutospacing="1" w:line="240" w:lineRule="auto"/>
        <w:rPr>
          <w:rFonts w:asciiTheme="majorHAnsi" w:hAnsiTheme="majorHAnsi" w:cstheme="majorHAnsi"/>
          <w:sz w:val="24"/>
          <w:szCs w:val="24"/>
        </w:rPr>
      </w:pPr>
      <w:r w:rsidRPr="000567AF">
        <w:rPr>
          <w:rFonts w:asciiTheme="majorHAnsi" w:hAnsiTheme="majorHAnsi" w:cstheme="majorHAnsi"/>
          <w:sz w:val="24"/>
          <w:szCs w:val="24"/>
          <w:u w:val="single"/>
        </w:rPr>
        <w:t>Application of funds:</w:t>
      </w:r>
      <w:r w:rsidRPr="000567AF">
        <w:rPr>
          <w:rFonts w:asciiTheme="majorHAnsi" w:hAnsiTheme="majorHAnsi" w:cstheme="majorHAnsi"/>
          <w:sz w:val="24"/>
          <w:szCs w:val="24"/>
        </w:rPr>
        <w:t xml:space="preserve"> Contributions from employers and employees only. No borrowings. </w:t>
      </w:r>
    </w:p>
    <w:p w14:paraId="649017B9" w14:textId="77777777" w:rsidR="00F85826" w:rsidRPr="000567AF" w:rsidRDefault="00F85826" w:rsidP="00F85826">
      <w:pPr>
        <w:shd w:val="clear" w:color="auto" w:fill="FFFFFF"/>
        <w:spacing w:before="100" w:beforeAutospacing="1" w:after="100" w:afterAutospacing="1" w:line="240" w:lineRule="auto"/>
        <w:rPr>
          <w:rFonts w:asciiTheme="majorHAnsi" w:hAnsiTheme="majorHAnsi" w:cstheme="majorHAnsi"/>
          <w:b/>
          <w:sz w:val="24"/>
          <w:szCs w:val="24"/>
        </w:rPr>
      </w:pPr>
    </w:p>
    <w:p w14:paraId="06EB0F3E" w14:textId="77777777" w:rsidR="002038FC" w:rsidRPr="000567AF" w:rsidRDefault="00F85826" w:rsidP="002038FC">
      <w:pPr>
        <w:pStyle w:val="ListParagraph"/>
        <w:numPr>
          <w:ilvl w:val="0"/>
          <w:numId w:val="2"/>
        </w:numPr>
        <w:shd w:val="clear" w:color="auto" w:fill="FFFFFF"/>
        <w:spacing w:before="100" w:beforeAutospacing="1" w:after="100" w:afterAutospacing="1" w:line="240" w:lineRule="auto"/>
        <w:rPr>
          <w:rFonts w:asciiTheme="majorHAnsi" w:hAnsiTheme="majorHAnsi" w:cstheme="majorHAnsi"/>
          <w:b/>
          <w:sz w:val="24"/>
          <w:szCs w:val="24"/>
        </w:rPr>
      </w:pPr>
      <w:r w:rsidRPr="000567AF">
        <w:rPr>
          <w:rFonts w:asciiTheme="majorHAnsi" w:hAnsiTheme="majorHAnsi" w:cstheme="majorHAnsi"/>
          <w:b/>
          <w:sz w:val="24"/>
          <w:szCs w:val="24"/>
        </w:rPr>
        <w:t>Life Insurance Company:</w:t>
      </w:r>
    </w:p>
    <w:p w14:paraId="02B47ABE" w14:textId="77777777" w:rsidR="002038FC" w:rsidRPr="000567AF" w:rsidRDefault="002038FC" w:rsidP="002038FC">
      <w:pPr>
        <w:pStyle w:val="ListParagraph"/>
        <w:numPr>
          <w:ilvl w:val="0"/>
          <w:numId w:val="12"/>
        </w:numPr>
        <w:shd w:val="clear" w:color="auto" w:fill="FFFFFF"/>
        <w:spacing w:before="100" w:beforeAutospacing="1" w:after="100" w:afterAutospacing="1" w:line="240" w:lineRule="auto"/>
        <w:rPr>
          <w:rFonts w:asciiTheme="majorHAnsi" w:hAnsiTheme="majorHAnsi" w:cstheme="majorHAnsi"/>
          <w:sz w:val="24"/>
          <w:szCs w:val="24"/>
        </w:rPr>
      </w:pPr>
      <w:r w:rsidRPr="000567AF">
        <w:rPr>
          <w:rFonts w:asciiTheme="majorHAnsi" w:hAnsiTheme="majorHAnsi" w:cstheme="majorHAnsi"/>
          <w:sz w:val="24"/>
          <w:szCs w:val="24"/>
          <w:u w:val="single"/>
        </w:rPr>
        <w:t xml:space="preserve">Role: </w:t>
      </w:r>
      <w:r w:rsidRPr="000567AF">
        <w:rPr>
          <w:rFonts w:asciiTheme="majorHAnsi" w:hAnsiTheme="majorHAnsi" w:cstheme="majorHAnsi"/>
          <w:sz w:val="24"/>
          <w:szCs w:val="24"/>
        </w:rPr>
        <w:t>Since life itself is uncertain, all individuals try to assure themselves of a certain sum of money in the future to take care of unforeseen events or happenings. Individuals in the course of their life are always exposed to some kind of risks. The risk may be of an event which is certain that is death. In that case, what will happen to the other members of the family who are dependent on a particular individual’s income. The other risk may be living too long in which an individual may become too old to earn i.e. retirement. In this case also, the earnings will decline or end. Under such circumstances, individuals seek protection against these risks and life insurance companies offer protection against such risks. A life insurance policy was introduced as a protection against the uncertainty of life. But gradually its scope had widened and there are various types of insurance policies available to suit the requirements of an individual. For example, disability insurance, health/medical insurance, annuity insurance and life insurance proper.</w:t>
      </w:r>
    </w:p>
    <w:p w14:paraId="60D58DDC" w14:textId="77777777" w:rsidR="002038FC" w:rsidRPr="000567AF" w:rsidRDefault="002038FC" w:rsidP="002038FC">
      <w:pPr>
        <w:pStyle w:val="ListParagraph"/>
        <w:numPr>
          <w:ilvl w:val="0"/>
          <w:numId w:val="12"/>
        </w:numPr>
        <w:shd w:val="clear" w:color="auto" w:fill="FFFFFF"/>
        <w:spacing w:before="100" w:beforeAutospacing="1" w:after="100" w:afterAutospacing="1" w:line="240" w:lineRule="auto"/>
        <w:rPr>
          <w:rFonts w:asciiTheme="majorHAnsi" w:hAnsiTheme="majorHAnsi" w:cstheme="majorHAnsi"/>
          <w:sz w:val="24"/>
          <w:szCs w:val="24"/>
          <w:u w:val="single"/>
        </w:rPr>
      </w:pPr>
      <w:r w:rsidRPr="000567AF">
        <w:rPr>
          <w:rFonts w:asciiTheme="majorHAnsi" w:hAnsiTheme="majorHAnsi" w:cstheme="majorHAnsi"/>
          <w:sz w:val="24"/>
          <w:szCs w:val="24"/>
          <w:u w:val="single"/>
        </w:rPr>
        <w:t xml:space="preserve">Sources of funds: </w:t>
      </w:r>
      <w:r w:rsidRPr="000567AF">
        <w:rPr>
          <w:rFonts w:asciiTheme="majorHAnsi" w:hAnsiTheme="majorHAnsi" w:cstheme="majorHAnsi"/>
          <w:sz w:val="24"/>
          <w:szCs w:val="24"/>
        </w:rPr>
        <w:t>Typical fund invests in a mixture of equities and short and long fixed interest securities. May have some investment in overseas securities, property, money market investments and index-linked gifts.</w:t>
      </w:r>
    </w:p>
    <w:p w14:paraId="7BB00BA9" w14:textId="77777777" w:rsidR="002038FC" w:rsidRPr="000567AF" w:rsidRDefault="002038FC" w:rsidP="002038FC">
      <w:pPr>
        <w:pStyle w:val="ListParagraph"/>
        <w:numPr>
          <w:ilvl w:val="0"/>
          <w:numId w:val="12"/>
        </w:numPr>
        <w:shd w:val="clear" w:color="auto" w:fill="FFFFFF"/>
        <w:spacing w:before="100" w:beforeAutospacing="1" w:after="100" w:afterAutospacing="1" w:line="240" w:lineRule="auto"/>
        <w:rPr>
          <w:rFonts w:asciiTheme="majorHAnsi" w:hAnsiTheme="majorHAnsi" w:cstheme="majorHAnsi"/>
          <w:sz w:val="24"/>
          <w:szCs w:val="24"/>
          <w:u w:val="single"/>
        </w:rPr>
      </w:pPr>
      <w:r w:rsidRPr="000567AF">
        <w:rPr>
          <w:rFonts w:asciiTheme="majorHAnsi" w:hAnsiTheme="majorHAnsi" w:cstheme="majorHAnsi"/>
          <w:sz w:val="24"/>
          <w:szCs w:val="24"/>
          <w:u w:val="single"/>
        </w:rPr>
        <w:t xml:space="preserve">Application of funds: </w:t>
      </w:r>
      <w:r w:rsidRPr="000567AF">
        <w:rPr>
          <w:rFonts w:asciiTheme="majorHAnsi" w:hAnsiTheme="majorHAnsi" w:cstheme="majorHAnsi"/>
          <w:sz w:val="24"/>
          <w:szCs w:val="24"/>
        </w:rPr>
        <w:t>Premium income from policyholders. Do not usually borrow money.</w:t>
      </w:r>
    </w:p>
    <w:p w14:paraId="4A9AE900" w14:textId="43F25122" w:rsidR="00B75F7D" w:rsidRPr="000567AF" w:rsidRDefault="007A557B" w:rsidP="000567AF">
      <w:pPr>
        <w:rPr>
          <w:rFonts w:asciiTheme="majorHAnsi" w:hAnsiTheme="majorHAnsi" w:cstheme="majorHAnsi"/>
        </w:rPr>
      </w:pPr>
      <w:r w:rsidRPr="000567AF">
        <w:rPr>
          <w:rFonts w:asciiTheme="majorHAnsi" w:hAnsiTheme="majorHAnsi" w:cstheme="majorHAnsi"/>
          <w:b/>
        </w:rPr>
        <w:t xml:space="preserve">Q11. </w:t>
      </w:r>
      <w:r w:rsidR="000567AF" w:rsidRPr="000567AF">
        <w:rPr>
          <w:rFonts w:asciiTheme="majorHAnsi" w:hAnsiTheme="majorHAnsi" w:cstheme="majorHAnsi"/>
          <w:b/>
        </w:rPr>
        <w:t xml:space="preserve"> </w:t>
      </w:r>
      <w:r w:rsidR="002D01E6" w:rsidRPr="000567AF">
        <w:rPr>
          <w:rFonts w:asciiTheme="majorHAnsi" w:hAnsiTheme="majorHAnsi" w:cstheme="majorHAnsi"/>
        </w:rPr>
        <w:t>The underlying contracts (liabilities) fall due outside the accounting period and are uncertain in size. Premature transfer of ‘profit’ to shareholders may endanger the financial stability of the company and the ability to meet future liabilities.</w:t>
      </w:r>
    </w:p>
    <w:p w14:paraId="2C7787C2" w14:textId="3A6D4EF7" w:rsidR="00B75F7D" w:rsidRPr="000567AF" w:rsidRDefault="00855D89" w:rsidP="000567AF">
      <w:pPr>
        <w:rPr>
          <w:rFonts w:asciiTheme="majorHAnsi" w:hAnsiTheme="majorHAnsi" w:cstheme="majorHAnsi"/>
          <w:sz w:val="24"/>
          <w:szCs w:val="24"/>
        </w:rPr>
      </w:pPr>
      <w:r w:rsidRPr="000567AF">
        <w:rPr>
          <w:rFonts w:asciiTheme="majorHAnsi" w:hAnsiTheme="majorHAnsi" w:cstheme="majorHAnsi"/>
          <w:b/>
        </w:rPr>
        <w:t xml:space="preserve">Q12. a) </w:t>
      </w:r>
      <w:r w:rsidR="00D1590B" w:rsidRPr="000567AF">
        <w:rPr>
          <w:rFonts w:asciiTheme="majorHAnsi" w:hAnsiTheme="majorHAnsi" w:cstheme="majorHAnsi"/>
          <w:b/>
        </w:rPr>
        <w:t xml:space="preserve"> </w:t>
      </w:r>
      <w:r w:rsidR="00B75F7D" w:rsidRPr="000567AF">
        <w:rPr>
          <w:rFonts w:asciiTheme="majorHAnsi" w:hAnsiTheme="majorHAnsi" w:cstheme="majorHAnsi"/>
          <w:sz w:val="24"/>
          <w:szCs w:val="24"/>
        </w:rPr>
        <w:t>The preparation of insurance company accounts is complicated by two special features:</w:t>
      </w:r>
    </w:p>
    <w:p w14:paraId="009FE6D6" w14:textId="77777777" w:rsidR="00B75F7D" w:rsidRPr="000567AF" w:rsidRDefault="00B75F7D" w:rsidP="00B75F7D">
      <w:pPr>
        <w:pStyle w:val="ListParagraph"/>
        <w:numPr>
          <w:ilvl w:val="0"/>
          <w:numId w:val="20"/>
        </w:numPr>
        <w:shd w:val="clear" w:color="auto" w:fill="FFFFFF"/>
        <w:spacing w:before="100" w:beforeAutospacing="1" w:after="100" w:afterAutospacing="1" w:line="240" w:lineRule="auto"/>
        <w:rPr>
          <w:rFonts w:asciiTheme="majorHAnsi" w:hAnsiTheme="majorHAnsi" w:cstheme="majorHAnsi"/>
          <w:sz w:val="24"/>
          <w:szCs w:val="24"/>
        </w:rPr>
      </w:pPr>
      <w:r w:rsidRPr="000567AF">
        <w:rPr>
          <w:rFonts w:asciiTheme="majorHAnsi" w:hAnsiTheme="majorHAnsi" w:cstheme="majorHAnsi"/>
          <w:sz w:val="24"/>
          <w:szCs w:val="24"/>
        </w:rPr>
        <w:t>The underlying contracts (liabilities) fall due outside the accounting period and are uncertain in size.</w:t>
      </w:r>
    </w:p>
    <w:p w14:paraId="23963D78" w14:textId="79EF2721" w:rsidR="002F4E23" w:rsidRPr="000567AF" w:rsidRDefault="00B75F7D" w:rsidP="007A557B">
      <w:pPr>
        <w:pStyle w:val="ListParagraph"/>
        <w:numPr>
          <w:ilvl w:val="0"/>
          <w:numId w:val="20"/>
        </w:numPr>
        <w:shd w:val="clear" w:color="auto" w:fill="FFFFFF"/>
        <w:spacing w:before="100" w:beforeAutospacing="1" w:after="100" w:afterAutospacing="1" w:line="240" w:lineRule="auto"/>
        <w:rPr>
          <w:rFonts w:asciiTheme="majorHAnsi" w:hAnsiTheme="majorHAnsi" w:cstheme="majorHAnsi"/>
          <w:sz w:val="24"/>
          <w:szCs w:val="24"/>
        </w:rPr>
      </w:pPr>
      <w:r w:rsidRPr="000567AF">
        <w:rPr>
          <w:rFonts w:asciiTheme="majorHAnsi" w:hAnsiTheme="majorHAnsi" w:cstheme="majorHAnsi"/>
          <w:sz w:val="24"/>
          <w:szCs w:val="24"/>
        </w:rPr>
        <w:t>Premature transfer of ‘profit’ to shareholders may endanger the financial stability of the company and the ability to meet future liabilities.</w:t>
      </w:r>
    </w:p>
    <w:p w14:paraId="3C4E0E12" w14:textId="20AA3A12" w:rsidR="002D01E6" w:rsidRPr="000567AF" w:rsidRDefault="00311904" w:rsidP="000567AF">
      <w:pPr>
        <w:rPr>
          <w:rFonts w:asciiTheme="majorHAnsi" w:hAnsiTheme="majorHAnsi" w:cstheme="majorHAnsi"/>
          <w:b/>
        </w:rPr>
      </w:pPr>
      <w:r w:rsidRPr="000567AF">
        <w:rPr>
          <w:rFonts w:asciiTheme="majorHAnsi" w:hAnsiTheme="majorHAnsi" w:cstheme="majorHAnsi"/>
          <w:b/>
        </w:rPr>
        <w:lastRenderedPageBreak/>
        <w:t xml:space="preserve">b) </w:t>
      </w:r>
      <w:r w:rsidR="002D01E6" w:rsidRPr="000567AF">
        <w:rPr>
          <w:rFonts w:asciiTheme="majorHAnsi" w:hAnsiTheme="majorHAnsi" w:cstheme="majorHAnsi"/>
        </w:rPr>
        <w:t>The major component of reserves for a general insurance company’s technical accounts are as follows-</w:t>
      </w:r>
    </w:p>
    <w:p w14:paraId="197EA66D" w14:textId="77777777" w:rsidR="002D01E6" w:rsidRPr="000567AF" w:rsidRDefault="002D01E6" w:rsidP="002D01E6">
      <w:pPr>
        <w:pStyle w:val="ListParagraph"/>
        <w:numPr>
          <w:ilvl w:val="0"/>
          <w:numId w:val="21"/>
        </w:numPr>
        <w:spacing w:line="256" w:lineRule="auto"/>
        <w:jc w:val="both"/>
        <w:rPr>
          <w:rFonts w:asciiTheme="majorHAnsi" w:hAnsiTheme="majorHAnsi" w:cstheme="majorHAnsi"/>
        </w:rPr>
      </w:pPr>
      <w:r w:rsidRPr="000567AF">
        <w:rPr>
          <w:rFonts w:asciiTheme="majorHAnsi" w:hAnsiTheme="majorHAnsi" w:cstheme="majorHAnsi"/>
        </w:rPr>
        <w:t>RR (Un-expired risk reserves): This reserve is kept to cover the claims and expense that are expected to emerge from an unexpired portion of the insurance cover in future period.</w:t>
      </w:r>
    </w:p>
    <w:p w14:paraId="2AC36DEE" w14:textId="77777777" w:rsidR="002D01E6" w:rsidRPr="000567AF" w:rsidRDefault="002D01E6" w:rsidP="002D01E6">
      <w:pPr>
        <w:pStyle w:val="ListParagraph"/>
        <w:numPr>
          <w:ilvl w:val="0"/>
          <w:numId w:val="21"/>
        </w:numPr>
        <w:spacing w:line="256" w:lineRule="auto"/>
        <w:jc w:val="both"/>
        <w:rPr>
          <w:rFonts w:asciiTheme="majorHAnsi" w:hAnsiTheme="majorHAnsi" w:cstheme="majorHAnsi"/>
        </w:rPr>
      </w:pPr>
      <w:r w:rsidRPr="000567AF">
        <w:rPr>
          <w:rFonts w:asciiTheme="majorHAnsi" w:hAnsiTheme="majorHAnsi" w:cstheme="majorHAnsi"/>
        </w:rPr>
        <w:t>Outstanding claim reserves: This reserve is kept to cover the claims and expense for all outstanding claims that have not yet been settled. These claims and expense may or may not be reported or known at the time of preparation of accounts.</w:t>
      </w:r>
    </w:p>
    <w:p w14:paraId="624D9AC9" w14:textId="265CFE22" w:rsidR="002F4E23" w:rsidRPr="000567AF" w:rsidRDefault="002F4E23" w:rsidP="007A557B">
      <w:pPr>
        <w:rPr>
          <w:rFonts w:asciiTheme="majorHAnsi" w:hAnsiTheme="majorHAnsi" w:cstheme="majorHAnsi"/>
          <w:b/>
        </w:rPr>
      </w:pPr>
    </w:p>
    <w:p w14:paraId="563809CE" w14:textId="77777777" w:rsidR="00D838E7" w:rsidRPr="000567AF" w:rsidRDefault="00D838E7" w:rsidP="009A1836">
      <w:pPr>
        <w:rPr>
          <w:rFonts w:asciiTheme="majorHAnsi" w:hAnsiTheme="majorHAnsi" w:cstheme="majorHAnsi"/>
          <w:b/>
        </w:rPr>
      </w:pPr>
      <w:r w:rsidRPr="000567AF">
        <w:rPr>
          <w:rFonts w:asciiTheme="majorHAnsi" w:hAnsiTheme="majorHAnsi" w:cstheme="majorHAnsi"/>
          <w:b/>
        </w:rPr>
        <w:t>Q13. A newly formed country is debating whether it should mandate compliance with the International Accounting Standards. As a reputed member of the accounting profession in a neighbouring country, you have been asked for your advice.</w:t>
      </w:r>
    </w:p>
    <w:p w14:paraId="3EDCF62F" w14:textId="06315C6D" w:rsidR="009A1836" w:rsidRPr="000567AF" w:rsidRDefault="009A1836" w:rsidP="009A1836">
      <w:pPr>
        <w:pStyle w:val="ListParagraph"/>
        <w:numPr>
          <w:ilvl w:val="0"/>
          <w:numId w:val="4"/>
        </w:numPr>
        <w:rPr>
          <w:rFonts w:asciiTheme="majorHAnsi" w:hAnsiTheme="majorHAnsi" w:cstheme="majorHAnsi"/>
          <w:b/>
        </w:rPr>
      </w:pPr>
      <w:r w:rsidRPr="000567AF">
        <w:rPr>
          <w:rFonts w:asciiTheme="majorHAnsi" w:hAnsiTheme="majorHAnsi" w:cstheme="majorHAnsi"/>
          <w:b/>
        </w:rPr>
        <w:t xml:space="preserve">Describe four advantages and four disadvantages of compliance with the International </w:t>
      </w:r>
      <w:r w:rsidR="006058C7" w:rsidRPr="000567AF">
        <w:rPr>
          <w:rFonts w:asciiTheme="majorHAnsi" w:hAnsiTheme="majorHAnsi" w:cstheme="majorHAnsi"/>
          <w:b/>
        </w:rPr>
        <w:t>Accounting Standards</w:t>
      </w:r>
      <w:r w:rsidRPr="000567AF">
        <w:rPr>
          <w:rFonts w:asciiTheme="majorHAnsi" w:hAnsiTheme="majorHAnsi" w:cstheme="majorHAnsi"/>
          <w:b/>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7759"/>
      </w:tblGrid>
      <w:tr w:rsidR="0095256D" w:rsidRPr="000567AF" w14:paraId="4C11EC11" w14:textId="77777777">
        <w:trPr>
          <w:trHeight w:val="351"/>
        </w:trPr>
        <w:tc>
          <w:tcPr>
            <w:tcW w:w="7759" w:type="dxa"/>
          </w:tcPr>
          <w:p w14:paraId="00E46C24" w14:textId="431C6687" w:rsidR="0095256D" w:rsidRPr="000567AF" w:rsidRDefault="0095256D">
            <w:pPr>
              <w:pStyle w:val="Default"/>
              <w:rPr>
                <w:rFonts w:asciiTheme="majorHAnsi" w:hAnsiTheme="majorHAnsi" w:cstheme="majorHAnsi"/>
                <w:color w:val="auto"/>
              </w:rPr>
            </w:pPr>
            <w:r w:rsidRPr="000567AF">
              <w:rPr>
                <w:rFonts w:asciiTheme="majorHAnsi" w:hAnsiTheme="majorHAnsi" w:cstheme="majorHAnsi"/>
                <w:b/>
                <w:bCs/>
                <w:color w:val="auto"/>
                <w:u w:val="single"/>
              </w:rPr>
              <w:t xml:space="preserve">Ans: </w:t>
            </w:r>
            <w:r w:rsidRPr="000567AF">
              <w:rPr>
                <w:rFonts w:asciiTheme="majorHAnsi" w:hAnsiTheme="majorHAnsi" w:cstheme="majorHAnsi"/>
                <w:color w:val="auto"/>
              </w:rPr>
              <w:t>Advantages-</w:t>
            </w:r>
          </w:p>
          <w:p w14:paraId="692F0FAF" w14:textId="4377AD62" w:rsidR="0095256D" w:rsidRPr="000567AF" w:rsidRDefault="0095256D" w:rsidP="0095256D">
            <w:pPr>
              <w:pStyle w:val="Default"/>
              <w:numPr>
                <w:ilvl w:val="0"/>
                <w:numId w:val="13"/>
              </w:numPr>
              <w:rPr>
                <w:rFonts w:asciiTheme="majorHAnsi" w:hAnsiTheme="majorHAnsi" w:cstheme="majorHAnsi"/>
                <w:color w:val="auto"/>
              </w:rPr>
            </w:pPr>
            <w:r w:rsidRPr="000567AF">
              <w:rPr>
                <w:rFonts w:asciiTheme="majorHAnsi" w:hAnsiTheme="majorHAnsi" w:cstheme="majorHAnsi"/>
                <w:color w:val="auto"/>
              </w:rPr>
              <w:t>They eliminate, or at least reduce variations between companies in the way they prepare accounts.</w:t>
            </w:r>
          </w:p>
        </w:tc>
      </w:tr>
      <w:tr w:rsidR="0095256D" w:rsidRPr="000567AF" w14:paraId="254F8D56" w14:textId="77777777">
        <w:trPr>
          <w:trHeight w:val="351"/>
        </w:trPr>
        <w:tc>
          <w:tcPr>
            <w:tcW w:w="7759" w:type="dxa"/>
          </w:tcPr>
          <w:p w14:paraId="669A1367" w14:textId="728A086F" w:rsidR="0095256D" w:rsidRPr="000567AF" w:rsidRDefault="0095256D" w:rsidP="0095256D">
            <w:pPr>
              <w:pStyle w:val="Default"/>
              <w:numPr>
                <w:ilvl w:val="0"/>
                <w:numId w:val="13"/>
              </w:numPr>
              <w:rPr>
                <w:rFonts w:asciiTheme="majorHAnsi" w:hAnsiTheme="majorHAnsi" w:cstheme="majorHAnsi"/>
                <w:color w:val="auto"/>
              </w:rPr>
            </w:pPr>
            <w:r w:rsidRPr="000567AF">
              <w:rPr>
                <w:rFonts w:asciiTheme="majorHAnsi" w:hAnsiTheme="majorHAnsi" w:cstheme="majorHAnsi"/>
                <w:color w:val="auto"/>
              </w:rPr>
              <w:t>They oblige companies to disclose more information than that required by national laws.</w:t>
            </w:r>
          </w:p>
        </w:tc>
      </w:tr>
      <w:tr w:rsidR="0095256D" w:rsidRPr="000567AF" w14:paraId="07DB6BF5" w14:textId="77777777">
        <w:trPr>
          <w:trHeight w:val="544"/>
        </w:trPr>
        <w:tc>
          <w:tcPr>
            <w:tcW w:w="7759" w:type="dxa"/>
          </w:tcPr>
          <w:p w14:paraId="193CECB6" w14:textId="74F7002C" w:rsidR="0095256D" w:rsidRPr="000567AF" w:rsidRDefault="0095256D" w:rsidP="0095256D">
            <w:pPr>
              <w:pStyle w:val="Default"/>
              <w:numPr>
                <w:ilvl w:val="0"/>
                <w:numId w:val="13"/>
              </w:numPr>
              <w:rPr>
                <w:rFonts w:asciiTheme="majorHAnsi" w:hAnsiTheme="majorHAnsi" w:cstheme="majorHAnsi"/>
                <w:color w:val="auto"/>
              </w:rPr>
            </w:pPr>
            <w:r w:rsidRPr="000567AF">
              <w:rPr>
                <w:rFonts w:asciiTheme="majorHAnsi" w:hAnsiTheme="majorHAnsi" w:cstheme="majorHAnsi"/>
                <w:color w:val="auto"/>
              </w:rPr>
              <w:t>They allow some degree of flexibility in a way that legislation often does not.</w:t>
            </w:r>
          </w:p>
          <w:p w14:paraId="2F43EA0D" w14:textId="77777777" w:rsidR="0095256D" w:rsidRPr="000567AF" w:rsidRDefault="0095256D">
            <w:pPr>
              <w:pStyle w:val="Default"/>
              <w:rPr>
                <w:rFonts w:asciiTheme="majorHAnsi" w:hAnsiTheme="majorHAnsi" w:cstheme="majorHAnsi"/>
                <w:color w:val="auto"/>
              </w:rPr>
            </w:pPr>
            <w:r w:rsidRPr="000567AF">
              <w:rPr>
                <w:rFonts w:asciiTheme="majorHAnsi" w:hAnsiTheme="majorHAnsi" w:cstheme="majorHAnsi"/>
                <w:color w:val="auto"/>
              </w:rPr>
              <w:t>Disadvantages-</w:t>
            </w:r>
          </w:p>
          <w:p w14:paraId="7C4E102E" w14:textId="2D4A23D9" w:rsidR="0095256D" w:rsidRPr="000567AF" w:rsidRDefault="0095256D" w:rsidP="0095256D">
            <w:pPr>
              <w:pStyle w:val="Default"/>
              <w:numPr>
                <w:ilvl w:val="0"/>
                <w:numId w:val="15"/>
              </w:numPr>
              <w:rPr>
                <w:rFonts w:asciiTheme="majorHAnsi" w:hAnsiTheme="majorHAnsi" w:cstheme="majorHAnsi"/>
                <w:color w:val="auto"/>
              </w:rPr>
            </w:pPr>
            <w:r w:rsidRPr="000567AF">
              <w:rPr>
                <w:rFonts w:asciiTheme="majorHAnsi" w:hAnsiTheme="majorHAnsi" w:cstheme="majorHAnsi"/>
                <w:color w:val="auto"/>
              </w:rPr>
              <w:t>The sets of rules contained in the standards may not be appropriate to all companies in all circumstances.</w:t>
            </w:r>
          </w:p>
          <w:p w14:paraId="617B06BD" w14:textId="067BDB02" w:rsidR="0095256D" w:rsidRPr="000567AF" w:rsidRDefault="0095256D" w:rsidP="0095256D">
            <w:pPr>
              <w:pStyle w:val="Default"/>
              <w:numPr>
                <w:ilvl w:val="0"/>
                <w:numId w:val="15"/>
              </w:numPr>
              <w:rPr>
                <w:rFonts w:asciiTheme="majorHAnsi" w:hAnsiTheme="majorHAnsi" w:cstheme="majorHAnsi"/>
                <w:color w:val="auto"/>
              </w:rPr>
            </w:pPr>
            <w:r w:rsidRPr="000567AF">
              <w:rPr>
                <w:rFonts w:asciiTheme="majorHAnsi" w:hAnsiTheme="majorHAnsi" w:cstheme="majorHAnsi"/>
                <w:color w:val="auto"/>
              </w:rPr>
              <w:t>Some standards are so general as to be meaningless, while others are far too detailed</w:t>
            </w:r>
          </w:p>
          <w:p w14:paraId="77EDEE23" w14:textId="79D4E217" w:rsidR="0095256D" w:rsidRPr="000567AF" w:rsidRDefault="0095256D" w:rsidP="0095256D">
            <w:pPr>
              <w:pStyle w:val="Default"/>
              <w:numPr>
                <w:ilvl w:val="0"/>
                <w:numId w:val="15"/>
              </w:numPr>
              <w:rPr>
                <w:rFonts w:asciiTheme="majorHAnsi" w:hAnsiTheme="majorHAnsi" w:cstheme="majorHAnsi"/>
                <w:color w:val="auto"/>
              </w:rPr>
            </w:pPr>
            <w:r w:rsidRPr="000567AF">
              <w:rPr>
                <w:rFonts w:asciiTheme="majorHAnsi" w:hAnsiTheme="majorHAnsi" w:cstheme="majorHAnsi"/>
                <w:color w:val="auto"/>
              </w:rPr>
              <w:t>Standards often allow more than one alternative treatment, which negates the attempt to ensure conformity between companies.</w:t>
            </w:r>
          </w:p>
        </w:tc>
      </w:tr>
    </w:tbl>
    <w:p w14:paraId="2EB36DBB" w14:textId="77777777" w:rsidR="0095256D" w:rsidRPr="000567AF" w:rsidRDefault="0095256D" w:rsidP="0095256D">
      <w:pPr>
        <w:rPr>
          <w:rFonts w:asciiTheme="majorHAnsi" w:hAnsiTheme="majorHAnsi" w:cstheme="majorHAnsi"/>
          <w:sz w:val="24"/>
          <w:szCs w:val="24"/>
        </w:rPr>
      </w:pPr>
    </w:p>
    <w:p w14:paraId="3DDD3474" w14:textId="64D8EBA0" w:rsidR="006058C7" w:rsidRPr="000567AF" w:rsidRDefault="006058C7" w:rsidP="009A1836">
      <w:pPr>
        <w:pStyle w:val="ListParagraph"/>
        <w:numPr>
          <w:ilvl w:val="0"/>
          <w:numId w:val="4"/>
        </w:numPr>
        <w:rPr>
          <w:rFonts w:asciiTheme="majorHAnsi" w:hAnsiTheme="majorHAnsi" w:cstheme="majorHAnsi"/>
          <w:b/>
        </w:rPr>
      </w:pPr>
      <w:r w:rsidRPr="000567AF">
        <w:rPr>
          <w:rFonts w:asciiTheme="majorHAnsi" w:hAnsiTheme="majorHAnsi" w:cstheme="majorHAnsi"/>
          <w:b/>
        </w:rPr>
        <w:t xml:space="preserve">List the various sources of regulations that influence the preparation of financial statements for companies in addition to the accounting standards. </w:t>
      </w:r>
    </w:p>
    <w:p w14:paraId="70D44505" w14:textId="5F0A8ACC" w:rsidR="00883E55" w:rsidRPr="000567AF" w:rsidRDefault="00883E55" w:rsidP="00883E55">
      <w:pPr>
        <w:ind w:left="360"/>
        <w:rPr>
          <w:rFonts w:asciiTheme="majorHAnsi" w:hAnsiTheme="majorHAnsi" w:cstheme="majorHAnsi"/>
          <w:b/>
          <w:u w:val="single"/>
        </w:rPr>
      </w:pPr>
      <w:r w:rsidRPr="000567AF">
        <w:rPr>
          <w:rFonts w:asciiTheme="majorHAnsi" w:hAnsiTheme="majorHAnsi" w:cstheme="majorHAnsi"/>
          <w:b/>
          <w:u w:val="single"/>
        </w:rPr>
        <w:t>Ans:</w:t>
      </w:r>
    </w:p>
    <w:p w14:paraId="39819CFA" w14:textId="59B73CAF" w:rsidR="0095256D" w:rsidRPr="000567AF" w:rsidRDefault="0095256D" w:rsidP="0095256D">
      <w:pPr>
        <w:pStyle w:val="ListParagraph"/>
        <w:numPr>
          <w:ilvl w:val="0"/>
          <w:numId w:val="16"/>
        </w:numPr>
        <w:rPr>
          <w:rFonts w:asciiTheme="majorHAnsi" w:hAnsiTheme="majorHAnsi" w:cstheme="majorHAnsi"/>
          <w:bCs/>
        </w:rPr>
      </w:pPr>
      <w:r w:rsidRPr="000567AF">
        <w:rPr>
          <w:rFonts w:asciiTheme="majorHAnsi" w:hAnsiTheme="majorHAnsi" w:cstheme="majorHAnsi"/>
          <w:bCs/>
        </w:rPr>
        <w:t>Principals, concepts and conventions</w:t>
      </w:r>
    </w:p>
    <w:p w14:paraId="659FE182" w14:textId="32A57F57" w:rsidR="0095256D" w:rsidRPr="000567AF" w:rsidRDefault="0095256D" w:rsidP="0095256D">
      <w:pPr>
        <w:pStyle w:val="ListParagraph"/>
        <w:numPr>
          <w:ilvl w:val="0"/>
          <w:numId w:val="16"/>
        </w:numPr>
        <w:rPr>
          <w:rFonts w:asciiTheme="majorHAnsi" w:hAnsiTheme="majorHAnsi" w:cstheme="majorHAnsi"/>
          <w:bCs/>
        </w:rPr>
      </w:pPr>
      <w:r w:rsidRPr="000567AF">
        <w:rPr>
          <w:rFonts w:asciiTheme="majorHAnsi" w:hAnsiTheme="majorHAnsi" w:cstheme="majorHAnsi"/>
          <w:bCs/>
        </w:rPr>
        <w:t>National Company Laws</w:t>
      </w:r>
    </w:p>
    <w:p w14:paraId="1212FA29" w14:textId="113BA8FD" w:rsidR="0095256D" w:rsidRPr="000567AF" w:rsidRDefault="0095256D" w:rsidP="0095256D">
      <w:pPr>
        <w:pStyle w:val="ListParagraph"/>
        <w:numPr>
          <w:ilvl w:val="0"/>
          <w:numId w:val="16"/>
        </w:numPr>
        <w:rPr>
          <w:rFonts w:asciiTheme="majorHAnsi" w:hAnsiTheme="majorHAnsi" w:cstheme="majorHAnsi"/>
          <w:bCs/>
        </w:rPr>
      </w:pPr>
      <w:r w:rsidRPr="000567AF">
        <w:rPr>
          <w:rFonts w:asciiTheme="majorHAnsi" w:hAnsiTheme="majorHAnsi" w:cstheme="majorHAnsi"/>
          <w:bCs/>
        </w:rPr>
        <w:t>Good practice by leading companies</w:t>
      </w:r>
    </w:p>
    <w:p w14:paraId="38CEBC64" w14:textId="6F912F57" w:rsidR="0095256D" w:rsidRPr="000567AF" w:rsidRDefault="00883E55" w:rsidP="0095256D">
      <w:pPr>
        <w:pStyle w:val="ListParagraph"/>
        <w:numPr>
          <w:ilvl w:val="0"/>
          <w:numId w:val="16"/>
        </w:numPr>
        <w:rPr>
          <w:rFonts w:asciiTheme="majorHAnsi" w:hAnsiTheme="majorHAnsi" w:cstheme="majorHAnsi"/>
          <w:bCs/>
        </w:rPr>
      </w:pPr>
      <w:r w:rsidRPr="000567AF">
        <w:rPr>
          <w:rFonts w:asciiTheme="majorHAnsi" w:hAnsiTheme="majorHAnsi" w:cstheme="majorHAnsi"/>
          <w:bCs/>
        </w:rPr>
        <w:t>Stock Exchange requirements</w:t>
      </w:r>
    </w:p>
    <w:p w14:paraId="2FD21AF0" w14:textId="2BA7F118" w:rsidR="00883E55" w:rsidRPr="000567AF" w:rsidRDefault="00883E55" w:rsidP="0095256D">
      <w:pPr>
        <w:pStyle w:val="ListParagraph"/>
        <w:numPr>
          <w:ilvl w:val="0"/>
          <w:numId w:val="16"/>
        </w:numPr>
        <w:rPr>
          <w:rFonts w:asciiTheme="majorHAnsi" w:hAnsiTheme="majorHAnsi" w:cstheme="majorHAnsi"/>
          <w:bCs/>
        </w:rPr>
      </w:pPr>
      <w:r w:rsidRPr="000567AF">
        <w:rPr>
          <w:rFonts w:asciiTheme="majorHAnsi" w:hAnsiTheme="majorHAnsi" w:cstheme="majorHAnsi"/>
          <w:bCs/>
        </w:rPr>
        <w:t>Other Legislation</w:t>
      </w:r>
    </w:p>
    <w:p w14:paraId="6A3215A3" w14:textId="65B2F8C4" w:rsidR="006058C7" w:rsidRPr="000567AF" w:rsidRDefault="006058C7" w:rsidP="009A1836">
      <w:pPr>
        <w:pStyle w:val="ListParagraph"/>
        <w:numPr>
          <w:ilvl w:val="0"/>
          <w:numId w:val="4"/>
        </w:numPr>
        <w:rPr>
          <w:rFonts w:asciiTheme="majorHAnsi" w:hAnsiTheme="majorHAnsi" w:cstheme="majorHAnsi"/>
          <w:b/>
        </w:rPr>
      </w:pPr>
      <w:r w:rsidRPr="000567AF">
        <w:rPr>
          <w:rFonts w:asciiTheme="majorHAnsi" w:hAnsiTheme="majorHAnsi" w:cstheme="majorHAnsi"/>
          <w:b/>
        </w:rPr>
        <w:t xml:space="preserve">Describe the additional information that cash flow statements </w:t>
      </w:r>
      <w:r w:rsidR="00CA6B66" w:rsidRPr="000567AF">
        <w:rPr>
          <w:rFonts w:asciiTheme="majorHAnsi" w:hAnsiTheme="majorHAnsi" w:cstheme="majorHAnsi"/>
          <w:b/>
        </w:rPr>
        <w:t>provide which is not available in the Statement of Financial Position and Statement of Comprehensive Income.</w:t>
      </w:r>
    </w:p>
    <w:p w14:paraId="1DFE5B29" w14:textId="77777777" w:rsidR="002D01E6" w:rsidRPr="000567AF" w:rsidRDefault="002D01E6" w:rsidP="002D01E6">
      <w:pPr>
        <w:ind w:left="360"/>
        <w:rPr>
          <w:rFonts w:asciiTheme="majorHAnsi" w:hAnsiTheme="majorHAnsi" w:cstheme="majorHAnsi"/>
          <w:b/>
        </w:rPr>
      </w:pPr>
    </w:p>
    <w:p w14:paraId="227EC5A7" w14:textId="207AF1FA" w:rsidR="00883E55" w:rsidRPr="000567AF" w:rsidRDefault="00883E55" w:rsidP="00883E55">
      <w:pPr>
        <w:pStyle w:val="comp"/>
        <w:shd w:val="clear" w:color="auto" w:fill="FFFFFF"/>
        <w:spacing w:before="0" w:beforeAutospacing="0"/>
        <w:rPr>
          <w:rFonts w:asciiTheme="majorHAnsi" w:eastAsiaTheme="minorHAnsi" w:hAnsiTheme="majorHAnsi" w:cstheme="majorHAnsi"/>
          <w:bCs/>
          <w:sz w:val="22"/>
          <w:szCs w:val="22"/>
          <w:lang w:eastAsia="en-US"/>
        </w:rPr>
      </w:pPr>
      <w:r w:rsidRPr="000567AF">
        <w:rPr>
          <w:rFonts w:asciiTheme="majorHAnsi" w:hAnsiTheme="majorHAnsi" w:cstheme="majorHAnsi"/>
          <w:b/>
          <w:u w:val="single"/>
        </w:rPr>
        <w:t>Ans:</w:t>
      </w:r>
      <w:r w:rsidRPr="000567AF">
        <w:rPr>
          <w:rFonts w:asciiTheme="majorHAnsi" w:hAnsiTheme="majorHAnsi" w:cstheme="majorHAnsi"/>
          <w:b/>
        </w:rPr>
        <w:t xml:space="preserve"> </w:t>
      </w:r>
      <w:r w:rsidRPr="000567AF">
        <w:rPr>
          <w:rFonts w:asciiTheme="majorHAnsi" w:eastAsiaTheme="minorHAnsi" w:hAnsiTheme="majorHAnsi" w:cstheme="majorHAnsi"/>
          <w:bCs/>
          <w:sz w:val="22"/>
          <w:szCs w:val="22"/>
          <w:lang w:eastAsia="en-US"/>
        </w:rPr>
        <w:t xml:space="preserve">A cash flow statement is a valuable measure of strength, profitability, and the long-term future outlook for a company. The A cash flow statement is a valuable measure of strength, profitability, and the long-term future outlook for a company. The CFS can help determine whether a company has </w:t>
      </w:r>
      <w:r w:rsidRPr="000567AF">
        <w:rPr>
          <w:rFonts w:asciiTheme="majorHAnsi" w:eastAsiaTheme="minorHAnsi" w:hAnsiTheme="majorHAnsi" w:cstheme="majorHAnsi"/>
          <w:bCs/>
          <w:sz w:val="22"/>
          <w:szCs w:val="22"/>
          <w:lang w:eastAsia="en-US"/>
        </w:rPr>
        <w:lastRenderedPageBreak/>
        <w:t>enough liquidity or cash to pay its expenses. A company can use a cash flow statement to predict future cash flow, which helps with matters of budgeting. can help determine whether a company has enough </w:t>
      </w:r>
      <w:hyperlink r:id="rId8" w:history="1">
        <w:r w:rsidRPr="000567AF">
          <w:rPr>
            <w:rFonts w:asciiTheme="majorHAnsi" w:eastAsiaTheme="minorHAnsi" w:hAnsiTheme="majorHAnsi" w:cstheme="majorHAnsi"/>
            <w:bCs/>
            <w:sz w:val="22"/>
            <w:szCs w:val="22"/>
            <w:lang w:eastAsia="en-US"/>
          </w:rPr>
          <w:t>liquidity</w:t>
        </w:r>
      </w:hyperlink>
      <w:r w:rsidRPr="000567AF">
        <w:rPr>
          <w:rFonts w:asciiTheme="majorHAnsi" w:eastAsiaTheme="minorHAnsi" w:hAnsiTheme="majorHAnsi" w:cstheme="majorHAnsi"/>
          <w:bCs/>
          <w:sz w:val="22"/>
          <w:szCs w:val="22"/>
          <w:lang w:eastAsia="en-US"/>
        </w:rPr>
        <w:t xml:space="preserve"> or cash to pay its expenses. A company can use a cash flow statement to predict future cash flow, which helps with matters of budgeting. </w:t>
      </w:r>
    </w:p>
    <w:p w14:paraId="6D167FDA" w14:textId="452B2031" w:rsidR="00883E55" w:rsidRPr="000567AF" w:rsidRDefault="00883E55" w:rsidP="00883E55">
      <w:pPr>
        <w:pStyle w:val="comp"/>
        <w:shd w:val="clear" w:color="auto" w:fill="FFFFFF"/>
        <w:spacing w:before="0" w:beforeAutospacing="0"/>
        <w:rPr>
          <w:rFonts w:asciiTheme="majorHAnsi" w:eastAsiaTheme="minorHAnsi" w:hAnsiTheme="majorHAnsi" w:cstheme="majorHAnsi"/>
          <w:bCs/>
          <w:sz w:val="22"/>
          <w:szCs w:val="22"/>
          <w:lang w:eastAsia="en-US"/>
        </w:rPr>
      </w:pPr>
      <w:r w:rsidRPr="000567AF">
        <w:rPr>
          <w:rFonts w:asciiTheme="majorHAnsi" w:eastAsiaTheme="minorHAnsi" w:hAnsiTheme="majorHAnsi" w:cstheme="majorHAnsi"/>
          <w:bCs/>
          <w:sz w:val="22"/>
          <w:szCs w:val="22"/>
          <w:lang w:eastAsia="en-US"/>
        </w:rPr>
        <w:t>The cashflow statement allows investors to understand how a company's operations are running, where its money is coming from, and how money is being spent. The cashflow statement is important since it helps investors determine whether a company is on a solid financial footing.</w:t>
      </w:r>
    </w:p>
    <w:p w14:paraId="1333BC45" w14:textId="06A58C47" w:rsidR="00883E55" w:rsidRPr="000567AF" w:rsidRDefault="00883E55" w:rsidP="00883E55">
      <w:pPr>
        <w:pStyle w:val="comp"/>
        <w:shd w:val="clear" w:color="auto" w:fill="FFFFFF"/>
        <w:spacing w:before="0" w:beforeAutospacing="0"/>
        <w:rPr>
          <w:rFonts w:asciiTheme="majorHAnsi" w:eastAsiaTheme="minorHAnsi" w:hAnsiTheme="majorHAnsi" w:cstheme="majorHAnsi"/>
          <w:bCs/>
          <w:sz w:val="22"/>
          <w:szCs w:val="22"/>
          <w:lang w:eastAsia="en-US"/>
        </w:rPr>
      </w:pPr>
      <w:r w:rsidRPr="000567AF">
        <w:rPr>
          <w:rFonts w:asciiTheme="majorHAnsi" w:eastAsiaTheme="minorHAnsi" w:hAnsiTheme="majorHAnsi" w:cstheme="majorHAnsi"/>
          <w:bCs/>
          <w:sz w:val="22"/>
          <w:szCs w:val="22"/>
          <w:lang w:eastAsia="en-US"/>
        </w:rPr>
        <w:t>Creditors, on the other hand, can use the cashflow statement to determine how much cash is available (referred to as liquidity) for the company to fund its operating expenses and pay its debts.</w:t>
      </w:r>
    </w:p>
    <w:p w14:paraId="55C60D02" w14:textId="42CA5019" w:rsidR="00883E55" w:rsidRPr="000567AF" w:rsidRDefault="00883E55" w:rsidP="00883E55">
      <w:pPr>
        <w:ind w:left="360"/>
        <w:rPr>
          <w:rFonts w:asciiTheme="majorHAnsi" w:hAnsiTheme="majorHAnsi" w:cstheme="majorHAnsi"/>
          <w:b/>
          <w:u w:val="single"/>
        </w:rPr>
      </w:pPr>
    </w:p>
    <w:p w14:paraId="4B083B22" w14:textId="77777777" w:rsidR="00883E55" w:rsidRPr="000567AF" w:rsidRDefault="00883E55" w:rsidP="00883E55">
      <w:pPr>
        <w:ind w:left="360"/>
        <w:rPr>
          <w:rFonts w:asciiTheme="majorHAnsi" w:hAnsiTheme="majorHAnsi" w:cstheme="majorHAnsi"/>
          <w:b/>
          <w:u w:val="single"/>
        </w:rPr>
      </w:pPr>
    </w:p>
    <w:p w14:paraId="1E7503B4" w14:textId="77777777" w:rsidR="00CA6B66" w:rsidRPr="000567AF" w:rsidRDefault="00CA6B66" w:rsidP="00CA6B66">
      <w:pPr>
        <w:rPr>
          <w:rFonts w:asciiTheme="majorHAnsi" w:hAnsiTheme="majorHAnsi" w:cstheme="majorHAnsi"/>
          <w:b/>
        </w:rPr>
      </w:pPr>
      <w:r w:rsidRPr="000567AF">
        <w:rPr>
          <w:rFonts w:asciiTheme="majorHAnsi" w:hAnsiTheme="majorHAnsi" w:cstheme="majorHAnsi"/>
          <w:b/>
        </w:rPr>
        <w:t>Q14. As an account officer, you have been requested to assist ABC Ltd., a company,</w:t>
      </w:r>
      <w:r w:rsidR="00F22441" w:rsidRPr="000567AF">
        <w:rPr>
          <w:rFonts w:asciiTheme="majorHAnsi" w:hAnsiTheme="majorHAnsi" w:cstheme="majorHAnsi"/>
          <w:b/>
        </w:rPr>
        <w:t xml:space="preserve"> to prepare its annual accounts. The following information has been provided from the company’s Book-keeping records:</w:t>
      </w:r>
    </w:p>
    <w:p w14:paraId="3CF3D65C" w14:textId="07B2FF76" w:rsidR="004E4D81" w:rsidRPr="000567AF" w:rsidRDefault="00844523">
      <w:pPr>
        <w:rPr>
          <w:rFonts w:asciiTheme="majorHAnsi" w:hAnsiTheme="majorHAnsi" w:cstheme="majorHAnsi"/>
          <w:b/>
        </w:rPr>
      </w:pPr>
      <w:r w:rsidRPr="000567AF">
        <w:rPr>
          <w:rFonts w:asciiTheme="majorHAnsi" w:hAnsiTheme="majorHAnsi" w:cstheme="majorHAnsi"/>
          <w:b/>
          <w:noProof/>
        </w:rPr>
        <w:lastRenderedPageBreak/>
        <w:drawing>
          <wp:inline distT="0" distB="0" distL="0" distR="0" wp14:anchorId="003CAC6E" wp14:editId="32AFA080">
            <wp:extent cx="4257675" cy="6736080"/>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58272" cy="6737025"/>
                    </a:xfrm>
                    <a:prstGeom prst="rect">
                      <a:avLst/>
                    </a:prstGeom>
                  </pic:spPr>
                </pic:pic>
              </a:graphicData>
            </a:graphic>
          </wp:inline>
        </w:drawing>
      </w:r>
      <w:r w:rsidRPr="000567AF">
        <w:rPr>
          <w:rFonts w:asciiTheme="majorHAnsi" w:hAnsiTheme="majorHAnsi" w:cstheme="majorHAnsi"/>
          <w:b/>
          <w:noProof/>
        </w:rPr>
        <w:drawing>
          <wp:inline distT="0" distB="0" distL="0" distR="0" wp14:anchorId="52D38270" wp14:editId="173FDDE1">
            <wp:extent cx="4225998" cy="202628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80" t="30911"/>
                    <a:stretch/>
                  </pic:blipFill>
                  <pic:spPr bwMode="auto">
                    <a:xfrm>
                      <a:off x="0" y="0"/>
                      <a:ext cx="4227785" cy="2027142"/>
                    </a:xfrm>
                    <a:prstGeom prst="rect">
                      <a:avLst/>
                    </a:prstGeom>
                    <a:ln>
                      <a:noFill/>
                    </a:ln>
                    <a:extLst>
                      <a:ext uri="{53640926-AAD7-44D8-BBD7-CCE9431645EC}">
                        <a14:shadowObscured xmlns:a14="http://schemas.microsoft.com/office/drawing/2010/main"/>
                      </a:ext>
                    </a:extLst>
                  </pic:spPr>
                </pic:pic>
              </a:graphicData>
            </a:graphic>
          </wp:inline>
        </w:drawing>
      </w:r>
    </w:p>
    <w:p w14:paraId="78FF0D6F" w14:textId="58914BAE" w:rsidR="002D01E6" w:rsidRPr="000567AF" w:rsidRDefault="002D01E6">
      <w:pPr>
        <w:rPr>
          <w:rFonts w:asciiTheme="majorHAnsi" w:hAnsiTheme="majorHAnsi" w:cstheme="majorHAnsi"/>
          <w:b/>
        </w:rPr>
      </w:pPr>
      <w:r w:rsidRPr="000567AF">
        <w:rPr>
          <w:rFonts w:asciiTheme="majorHAnsi" w:hAnsiTheme="majorHAnsi" w:cstheme="majorHAnsi"/>
          <w:b/>
          <w:noProof/>
        </w:rPr>
        <w:lastRenderedPageBreak/>
        <w:drawing>
          <wp:inline distT="0" distB="0" distL="0" distR="0" wp14:anchorId="12D2F771" wp14:editId="47746D48">
            <wp:extent cx="5731510" cy="51257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5125720"/>
                    </a:xfrm>
                    <a:prstGeom prst="rect">
                      <a:avLst/>
                    </a:prstGeom>
                  </pic:spPr>
                </pic:pic>
              </a:graphicData>
            </a:graphic>
          </wp:inline>
        </w:drawing>
      </w:r>
    </w:p>
    <w:p w14:paraId="59113AF6" w14:textId="3486099C" w:rsidR="002D01E6" w:rsidRPr="000567AF" w:rsidRDefault="002D01E6">
      <w:pPr>
        <w:rPr>
          <w:rFonts w:asciiTheme="majorHAnsi" w:hAnsiTheme="majorHAnsi" w:cstheme="majorHAnsi"/>
          <w:b/>
        </w:rPr>
      </w:pPr>
      <w:r w:rsidRPr="000567AF">
        <w:rPr>
          <w:rFonts w:asciiTheme="majorHAnsi" w:hAnsiTheme="majorHAnsi" w:cstheme="majorHAnsi"/>
          <w:b/>
          <w:noProof/>
        </w:rPr>
        <w:drawing>
          <wp:inline distT="0" distB="0" distL="0" distR="0" wp14:anchorId="152B7D6A" wp14:editId="407719E2">
            <wp:extent cx="4124901" cy="169568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4901" cy="1695687"/>
                    </a:xfrm>
                    <a:prstGeom prst="rect">
                      <a:avLst/>
                    </a:prstGeom>
                  </pic:spPr>
                </pic:pic>
              </a:graphicData>
            </a:graphic>
          </wp:inline>
        </w:drawing>
      </w:r>
    </w:p>
    <w:p w14:paraId="5DA4A756" w14:textId="543DBBA8" w:rsidR="00844523" w:rsidRPr="000567AF" w:rsidRDefault="00844523">
      <w:pPr>
        <w:rPr>
          <w:rFonts w:asciiTheme="majorHAnsi" w:hAnsiTheme="majorHAnsi" w:cstheme="majorHAnsi"/>
          <w:b/>
        </w:rPr>
      </w:pPr>
    </w:p>
    <w:p w14:paraId="10018BF7" w14:textId="77777777" w:rsidR="00844523" w:rsidRPr="000567AF" w:rsidRDefault="00844523">
      <w:pPr>
        <w:rPr>
          <w:rFonts w:asciiTheme="majorHAnsi" w:hAnsiTheme="majorHAnsi" w:cstheme="majorHAnsi"/>
          <w:b/>
        </w:rPr>
      </w:pPr>
    </w:p>
    <w:p w14:paraId="71735D5D" w14:textId="17001A78" w:rsidR="003D7839" w:rsidRPr="000567AF" w:rsidRDefault="007C42CD">
      <w:pPr>
        <w:rPr>
          <w:rFonts w:asciiTheme="majorHAnsi" w:hAnsiTheme="majorHAnsi" w:cstheme="majorHAnsi"/>
          <w:b/>
        </w:rPr>
      </w:pPr>
      <w:r w:rsidRPr="000567AF">
        <w:rPr>
          <w:rFonts w:asciiTheme="majorHAnsi" w:hAnsiTheme="majorHAnsi" w:cstheme="majorHAnsi"/>
          <w:b/>
          <w:noProof/>
        </w:rPr>
        <w:lastRenderedPageBreak/>
        <w:drawing>
          <wp:inline distT="0" distB="0" distL="0" distR="0" wp14:anchorId="7A043A64" wp14:editId="029DE71E">
            <wp:extent cx="5731510" cy="3804285"/>
            <wp:effectExtent l="0" t="0" r="254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3804285"/>
                    </a:xfrm>
                    <a:prstGeom prst="rect">
                      <a:avLst/>
                    </a:prstGeom>
                  </pic:spPr>
                </pic:pic>
              </a:graphicData>
            </a:graphic>
          </wp:inline>
        </w:drawing>
      </w:r>
    </w:p>
    <w:sectPr w:rsidR="003D7839" w:rsidRPr="000567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6096"/>
    <w:multiLevelType w:val="hybridMultilevel"/>
    <w:tmpl w:val="A4D8913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1953B3"/>
    <w:multiLevelType w:val="hybridMultilevel"/>
    <w:tmpl w:val="96C455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4D1E79"/>
    <w:multiLevelType w:val="hybridMultilevel"/>
    <w:tmpl w:val="53007DC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8536A60"/>
    <w:multiLevelType w:val="hybridMultilevel"/>
    <w:tmpl w:val="609E25B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1BC4633C"/>
    <w:multiLevelType w:val="hybridMultilevel"/>
    <w:tmpl w:val="0138023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0EB163D"/>
    <w:multiLevelType w:val="hybridMultilevel"/>
    <w:tmpl w:val="859C1290"/>
    <w:lvl w:ilvl="0" w:tplc="4009000F">
      <w:start w:val="1"/>
      <w:numFmt w:val="decimal"/>
      <w:lvlText w:val="%1."/>
      <w:lvlJc w:val="left"/>
      <w:pPr>
        <w:ind w:left="502"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AF1C2A"/>
    <w:multiLevelType w:val="hybridMultilevel"/>
    <w:tmpl w:val="55BC90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D6D71BF"/>
    <w:multiLevelType w:val="hybridMultilevel"/>
    <w:tmpl w:val="0172F0E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2FCE3807"/>
    <w:multiLevelType w:val="hybridMultilevel"/>
    <w:tmpl w:val="500408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1AE1184"/>
    <w:multiLevelType w:val="hybridMultilevel"/>
    <w:tmpl w:val="4CA273B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28E3622"/>
    <w:multiLevelType w:val="hybridMultilevel"/>
    <w:tmpl w:val="C590B80E"/>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41D261F7"/>
    <w:multiLevelType w:val="hybridMultilevel"/>
    <w:tmpl w:val="F1EA4938"/>
    <w:lvl w:ilvl="0" w:tplc="A1B408B8">
      <w:start w:val="1"/>
      <w:numFmt w:val="decimal"/>
      <w:lvlText w:val="%1."/>
      <w:lvlJc w:val="left"/>
      <w:pPr>
        <w:ind w:left="1080" w:hanging="360"/>
      </w:pPr>
      <w:rPr>
        <w:rFonts w:hint="default"/>
        <w:u w:val="single"/>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43C81E00"/>
    <w:multiLevelType w:val="hybridMultilevel"/>
    <w:tmpl w:val="60BED0BA"/>
    <w:lvl w:ilvl="0" w:tplc="2E6659F0">
      <w:start w:val="1"/>
      <w:numFmt w:val="decimal"/>
      <w:lvlText w:val="%1."/>
      <w:lvlJc w:val="left"/>
      <w:pPr>
        <w:ind w:left="1080" w:hanging="360"/>
      </w:pPr>
      <w:rPr>
        <w:rFonts w:asciiTheme="minorHAnsi" w:eastAsiaTheme="minorHAnsi" w:hAnsiTheme="minorHAnsi" w:cstheme="minorBidi"/>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4F9438E7"/>
    <w:multiLevelType w:val="hybridMultilevel"/>
    <w:tmpl w:val="BA14012A"/>
    <w:lvl w:ilvl="0" w:tplc="A412C49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50520FF0"/>
    <w:multiLevelType w:val="hybridMultilevel"/>
    <w:tmpl w:val="DA56B21E"/>
    <w:lvl w:ilvl="0" w:tplc="E140F1C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1922745"/>
    <w:multiLevelType w:val="hybridMultilevel"/>
    <w:tmpl w:val="605E6E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373215F"/>
    <w:multiLevelType w:val="hybridMultilevel"/>
    <w:tmpl w:val="BBCE87E6"/>
    <w:lvl w:ilvl="0" w:tplc="01DEF63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1427381"/>
    <w:multiLevelType w:val="hybridMultilevel"/>
    <w:tmpl w:val="7448564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91A6849"/>
    <w:multiLevelType w:val="hybridMultilevel"/>
    <w:tmpl w:val="5294669C"/>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15:restartNumberingAfterBreak="0">
    <w:nsid w:val="6EA63470"/>
    <w:multiLevelType w:val="hybridMultilevel"/>
    <w:tmpl w:val="F126FCEC"/>
    <w:lvl w:ilvl="0" w:tplc="40090001">
      <w:start w:val="1"/>
      <w:numFmt w:val="bullet"/>
      <w:lvlText w:val=""/>
      <w:lvlJc w:val="left"/>
      <w:pPr>
        <w:ind w:left="768" w:hanging="360"/>
      </w:pPr>
      <w:rPr>
        <w:rFonts w:ascii="Symbol" w:hAnsi="Symbol" w:hint="default"/>
      </w:rPr>
    </w:lvl>
    <w:lvl w:ilvl="1" w:tplc="40090003" w:tentative="1">
      <w:start w:val="1"/>
      <w:numFmt w:val="bullet"/>
      <w:lvlText w:val="o"/>
      <w:lvlJc w:val="left"/>
      <w:pPr>
        <w:ind w:left="1488" w:hanging="360"/>
      </w:pPr>
      <w:rPr>
        <w:rFonts w:ascii="Courier New" w:hAnsi="Courier New" w:cs="Courier New" w:hint="default"/>
      </w:rPr>
    </w:lvl>
    <w:lvl w:ilvl="2" w:tplc="40090005" w:tentative="1">
      <w:start w:val="1"/>
      <w:numFmt w:val="bullet"/>
      <w:lvlText w:val=""/>
      <w:lvlJc w:val="left"/>
      <w:pPr>
        <w:ind w:left="2208" w:hanging="360"/>
      </w:pPr>
      <w:rPr>
        <w:rFonts w:ascii="Wingdings" w:hAnsi="Wingdings" w:hint="default"/>
      </w:rPr>
    </w:lvl>
    <w:lvl w:ilvl="3" w:tplc="40090001" w:tentative="1">
      <w:start w:val="1"/>
      <w:numFmt w:val="bullet"/>
      <w:lvlText w:val=""/>
      <w:lvlJc w:val="left"/>
      <w:pPr>
        <w:ind w:left="2928" w:hanging="360"/>
      </w:pPr>
      <w:rPr>
        <w:rFonts w:ascii="Symbol" w:hAnsi="Symbol" w:hint="default"/>
      </w:rPr>
    </w:lvl>
    <w:lvl w:ilvl="4" w:tplc="40090003" w:tentative="1">
      <w:start w:val="1"/>
      <w:numFmt w:val="bullet"/>
      <w:lvlText w:val="o"/>
      <w:lvlJc w:val="left"/>
      <w:pPr>
        <w:ind w:left="3648" w:hanging="360"/>
      </w:pPr>
      <w:rPr>
        <w:rFonts w:ascii="Courier New" w:hAnsi="Courier New" w:cs="Courier New" w:hint="default"/>
      </w:rPr>
    </w:lvl>
    <w:lvl w:ilvl="5" w:tplc="40090005" w:tentative="1">
      <w:start w:val="1"/>
      <w:numFmt w:val="bullet"/>
      <w:lvlText w:val=""/>
      <w:lvlJc w:val="left"/>
      <w:pPr>
        <w:ind w:left="4368" w:hanging="360"/>
      </w:pPr>
      <w:rPr>
        <w:rFonts w:ascii="Wingdings" w:hAnsi="Wingdings" w:hint="default"/>
      </w:rPr>
    </w:lvl>
    <w:lvl w:ilvl="6" w:tplc="40090001" w:tentative="1">
      <w:start w:val="1"/>
      <w:numFmt w:val="bullet"/>
      <w:lvlText w:val=""/>
      <w:lvlJc w:val="left"/>
      <w:pPr>
        <w:ind w:left="5088" w:hanging="360"/>
      </w:pPr>
      <w:rPr>
        <w:rFonts w:ascii="Symbol" w:hAnsi="Symbol" w:hint="default"/>
      </w:rPr>
    </w:lvl>
    <w:lvl w:ilvl="7" w:tplc="40090003" w:tentative="1">
      <w:start w:val="1"/>
      <w:numFmt w:val="bullet"/>
      <w:lvlText w:val="o"/>
      <w:lvlJc w:val="left"/>
      <w:pPr>
        <w:ind w:left="5808" w:hanging="360"/>
      </w:pPr>
      <w:rPr>
        <w:rFonts w:ascii="Courier New" w:hAnsi="Courier New" w:cs="Courier New" w:hint="default"/>
      </w:rPr>
    </w:lvl>
    <w:lvl w:ilvl="8" w:tplc="40090005" w:tentative="1">
      <w:start w:val="1"/>
      <w:numFmt w:val="bullet"/>
      <w:lvlText w:val=""/>
      <w:lvlJc w:val="left"/>
      <w:pPr>
        <w:ind w:left="6528" w:hanging="360"/>
      </w:pPr>
      <w:rPr>
        <w:rFonts w:ascii="Wingdings" w:hAnsi="Wingdings" w:hint="default"/>
      </w:rPr>
    </w:lvl>
  </w:abstractNum>
  <w:abstractNum w:abstractNumId="20" w15:restartNumberingAfterBreak="0">
    <w:nsid w:val="7EDC0189"/>
    <w:multiLevelType w:val="hybridMultilevel"/>
    <w:tmpl w:val="48AC48D4"/>
    <w:lvl w:ilvl="0" w:tplc="3FEE17C6">
      <w:start w:val="2"/>
      <w:numFmt w:val="lowerLetter"/>
      <w:lvlText w:val="%1."/>
      <w:lvlJc w:val="left"/>
      <w:pPr>
        <w:ind w:left="1440" w:hanging="360"/>
      </w:pPr>
      <w:rPr>
        <w:rFonts w:hint="default"/>
        <w:u w:val="single"/>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
  </w:num>
  <w:num w:numId="2">
    <w:abstractNumId w:val="4"/>
  </w:num>
  <w:num w:numId="3">
    <w:abstractNumId w:val="14"/>
  </w:num>
  <w:num w:numId="4">
    <w:abstractNumId w:val="16"/>
  </w:num>
  <w:num w:numId="5">
    <w:abstractNumId w:val="5"/>
  </w:num>
  <w:num w:numId="6">
    <w:abstractNumId w:val="18"/>
  </w:num>
  <w:num w:numId="7">
    <w:abstractNumId w:val="13"/>
  </w:num>
  <w:num w:numId="8">
    <w:abstractNumId w:val="20"/>
  </w:num>
  <w:num w:numId="9">
    <w:abstractNumId w:val="0"/>
  </w:num>
  <w:num w:numId="10">
    <w:abstractNumId w:val="11"/>
  </w:num>
  <w:num w:numId="11">
    <w:abstractNumId w:val="10"/>
  </w:num>
  <w:num w:numId="12">
    <w:abstractNumId w:val="12"/>
  </w:num>
  <w:num w:numId="13">
    <w:abstractNumId w:val="17"/>
  </w:num>
  <w:num w:numId="14">
    <w:abstractNumId w:val="9"/>
  </w:num>
  <w:num w:numId="15">
    <w:abstractNumId w:val="2"/>
  </w:num>
  <w:num w:numId="16">
    <w:abstractNumId w:val="7"/>
  </w:num>
  <w:num w:numId="17">
    <w:abstractNumId w:val="19"/>
  </w:num>
  <w:num w:numId="18">
    <w:abstractNumId w:val="8"/>
  </w:num>
  <w:num w:numId="19">
    <w:abstractNumId w:val="15"/>
  </w:num>
  <w:num w:numId="20">
    <w:abstractNumId w:val="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NLcwMjUwMTcwNTJT0lEKTi0uzszPAykwrgUAyVkEBywAAAA="/>
  </w:docVars>
  <w:rsids>
    <w:rsidRoot w:val="001A137D"/>
    <w:rsid w:val="00056511"/>
    <w:rsid w:val="000567AF"/>
    <w:rsid w:val="00062D97"/>
    <w:rsid w:val="00092F90"/>
    <w:rsid w:val="0011401F"/>
    <w:rsid w:val="001329B3"/>
    <w:rsid w:val="001425A5"/>
    <w:rsid w:val="00145878"/>
    <w:rsid w:val="001602CC"/>
    <w:rsid w:val="00162AAB"/>
    <w:rsid w:val="001A137D"/>
    <w:rsid w:val="001F28E0"/>
    <w:rsid w:val="002038FC"/>
    <w:rsid w:val="002351A3"/>
    <w:rsid w:val="00253324"/>
    <w:rsid w:val="002D01E6"/>
    <w:rsid w:val="002F4E23"/>
    <w:rsid w:val="00303C83"/>
    <w:rsid w:val="00311904"/>
    <w:rsid w:val="003249C7"/>
    <w:rsid w:val="003456D5"/>
    <w:rsid w:val="003514E8"/>
    <w:rsid w:val="003A092C"/>
    <w:rsid w:val="003A13C9"/>
    <w:rsid w:val="003B390D"/>
    <w:rsid w:val="003D7839"/>
    <w:rsid w:val="003E6396"/>
    <w:rsid w:val="004764E6"/>
    <w:rsid w:val="0047716B"/>
    <w:rsid w:val="004E4D81"/>
    <w:rsid w:val="00503A64"/>
    <w:rsid w:val="0051554A"/>
    <w:rsid w:val="006058C7"/>
    <w:rsid w:val="00607FFB"/>
    <w:rsid w:val="00620102"/>
    <w:rsid w:val="00621DAE"/>
    <w:rsid w:val="00676F42"/>
    <w:rsid w:val="006D5630"/>
    <w:rsid w:val="00711A9A"/>
    <w:rsid w:val="00757E6C"/>
    <w:rsid w:val="007614BD"/>
    <w:rsid w:val="00776F06"/>
    <w:rsid w:val="007A557B"/>
    <w:rsid w:val="007C42CD"/>
    <w:rsid w:val="00844523"/>
    <w:rsid w:val="008535CA"/>
    <w:rsid w:val="00855D89"/>
    <w:rsid w:val="00883E55"/>
    <w:rsid w:val="009513A2"/>
    <w:rsid w:val="0095256D"/>
    <w:rsid w:val="00955603"/>
    <w:rsid w:val="009621F6"/>
    <w:rsid w:val="009766BD"/>
    <w:rsid w:val="009A1836"/>
    <w:rsid w:val="00A717E2"/>
    <w:rsid w:val="00AB65B7"/>
    <w:rsid w:val="00AF784E"/>
    <w:rsid w:val="00B71241"/>
    <w:rsid w:val="00B75F7D"/>
    <w:rsid w:val="00C24D83"/>
    <w:rsid w:val="00C925B7"/>
    <w:rsid w:val="00CA664E"/>
    <w:rsid w:val="00CA6B66"/>
    <w:rsid w:val="00CD5DFC"/>
    <w:rsid w:val="00CF274A"/>
    <w:rsid w:val="00CF3745"/>
    <w:rsid w:val="00D043A5"/>
    <w:rsid w:val="00D1590B"/>
    <w:rsid w:val="00D236FC"/>
    <w:rsid w:val="00D356C9"/>
    <w:rsid w:val="00D36E57"/>
    <w:rsid w:val="00D5035D"/>
    <w:rsid w:val="00D656C1"/>
    <w:rsid w:val="00D838E7"/>
    <w:rsid w:val="00DA31CA"/>
    <w:rsid w:val="00E11271"/>
    <w:rsid w:val="00E13494"/>
    <w:rsid w:val="00E53CE0"/>
    <w:rsid w:val="00E60E1B"/>
    <w:rsid w:val="00E9419F"/>
    <w:rsid w:val="00F04D12"/>
    <w:rsid w:val="00F178EB"/>
    <w:rsid w:val="00F22441"/>
    <w:rsid w:val="00F800BB"/>
    <w:rsid w:val="00F85826"/>
    <w:rsid w:val="00FC3A16"/>
    <w:rsid w:val="00FD28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9DF51"/>
  <w15:chartTrackingRefBased/>
  <w15:docId w15:val="{4E5984C5-17C4-41C0-9747-107FF8D8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511"/>
    <w:pPr>
      <w:ind w:left="720"/>
      <w:contextualSpacing/>
    </w:pPr>
  </w:style>
  <w:style w:type="paragraph" w:styleId="NormalWeb">
    <w:name w:val="Normal (Web)"/>
    <w:basedOn w:val="Normal"/>
    <w:uiPriority w:val="99"/>
    <w:semiHidden/>
    <w:unhideWhenUsed/>
    <w:rsid w:val="00F8582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omp">
    <w:name w:val="comp"/>
    <w:basedOn w:val="Normal"/>
    <w:rsid w:val="00D236F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D236FC"/>
    <w:rPr>
      <w:color w:val="0000FF"/>
      <w:u w:val="single"/>
    </w:rPr>
  </w:style>
  <w:style w:type="paragraph" w:customStyle="1" w:styleId="Default">
    <w:name w:val="Default"/>
    <w:rsid w:val="0095256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53527">
      <w:bodyDiv w:val="1"/>
      <w:marLeft w:val="0"/>
      <w:marRight w:val="0"/>
      <w:marTop w:val="0"/>
      <w:marBottom w:val="0"/>
      <w:divBdr>
        <w:top w:val="none" w:sz="0" w:space="0" w:color="auto"/>
        <w:left w:val="none" w:sz="0" w:space="0" w:color="auto"/>
        <w:bottom w:val="none" w:sz="0" w:space="0" w:color="auto"/>
        <w:right w:val="none" w:sz="0" w:space="0" w:color="auto"/>
      </w:divBdr>
    </w:div>
    <w:div w:id="267280140">
      <w:bodyDiv w:val="1"/>
      <w:marLeft w:val="0"/>
      <w:marRight w:val="0"/>
      <w:marTop w:val="0"/>
      <w:marBottom w:val="0"/>
      <w:divBdr>
        <w:top w:val="none" w:sz="0" w:space="0" w:color="auto"/>
        <w:left w:val="none" w:sz="0" w:space="0" w:color="auto"/>
        <w:bottom w:val="none" w:sz="0" w:space="0" w:color="auto"/>
        <w:right w:val="none" w:sz="0" w:space="0" w:color="auto"/>
      </w:divBdr>
    </w:div>
    <w:div w:id="651445506">
      <w:bodyDiv w:val="1"/>
      <w:marLeft w:val="0"/>
      <w:marRight w:val="0"/>
      <w:marTop w:val="0"/>
      <w:marBottom w:val="0"/>
      <w:divBdr>
        <w:top w:val="none" w:sz="0" w:space="0" w:color="auto"/>
        <w:left w:val="none" w:sz="0" w:space="0" w:color="auto"/>
        <w:bottom w:val="none" w:sz="0" w:space="0" w:color="auto"/>
        <w:right w:val="none" w:sz="0" w:space="0" w:color="auto"/>
      </w:divBdr>
    </w:div>
    <w:div w:id="700130596">
      <w:bodyDiv w:val="1"/>
      <w:marLeft w:val="0"/>
      <w:marRight w:val="0"/>
      <w:marTop w:val="0"/>
      <w:marBottom w:val="0"/>
      <w:divBdr>
        <w:top w:val="none" w:sz="0" w:space="0" w:color="auto"/>
        <w:left w:val="none" w:sz="0" w:space="0" w:color="auto"/>
        <w:bottom w:val="none" w:sz="0" w:space="0" w:color="auto"/>
        <w:right w:val="none" w:sz="0" w:space="0" w:color="auto"/>
      </w:divBdr>
    </w:div>
    <w:div w:id="831792873">
      <w:bodyDiv w:val="1"/>
      <w:marLeft w:val="0"/>
      <w:marRight w:val="0"/>
      <w:marTop w:val="0"/>
      <w:marBottom w:val="0"/>
      <w:divBdr>
        <w:top w:val="none" w:sz="0" w:space="0" w:color="auto"/>
        <w:left w:val="none" w:sz="0" w:space="0" w:color="auto"/>
        <w:bottom w:val="none" w:sz="0" w:space="0" w:color="auto"/>
        <w:right w:val="none" w:sz="0" w:space="0" w:color="auto"/>
      </w:divBdr>
    </w:div>
    <w:div w:id="1079525279">
      <w:bodyDiv w:val="1"/>
      <w:marLeft w:val="0"/>
      <w:marRight w:val="0"/>
      <w:marTop w:val="0"/>
      <w:marBottom w:val="0"/>
      <w:divBdr>
        <w:top w:val="none" w:sz="0" w:space="0" w:color="auto"/>
        <w:left w:val="none" w:sz="0" w:space="0" w:color="auto"/>
        <w:bottom w:val="none" w:sz="0" w:space="0" w:color="auto"/>
        <w:right w:val="none" w:sz="0" w:space="0" w:color="auto"/>
      </w:divBdr>
    </w:div>
    <w:div w:id="198773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l/liquidity.asp"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hyperlink" Target="https://www.investopedia.com/terms/a/acquirer.asp" TargetMode="Externa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nvestopedia.com/articles/07/statementmanipulation.asp"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35BB1-4D4B-4518-B3E2-CA26D9D89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2208</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Kshitij</dc:creator>
  <cp:keywords/>
  <dc:description/>
  <cp:lastModifiedBy>H L</cp:lastModifiedBy>
  <cp:revision>3</cp:revision>
  <dcterms:created xsi:type="dcterms:W3CDTF">2021-04-29T18:55:00Z</dcterms:created>
  <dcterms:modified xsi:type="dcterms:W3CDTF">2021-04-30T14:07:00Z</dcterms:modified>
</cp:coreProperties>
</file>