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D74" w14:textId="77777777" w:rsidR="00E12EC1" w:rsidRPr="00E617B4" w:rsidRDefault="00E12EC1" w:rsidP="00E12EC1">
      <w:pPr>
        <w:rPr>
          <w:rFonts w:ascii="Times New Roman" w:hAnsi="Times New Roman" w:cs="Times New Roman"/>
          <w:b/>
          <w:bCs/>
          <w:sz w:val="28"/>
          <w:szCs w:val="28"/>
        </w:rPr>
      </w:pPr>
      <w:r w:rsidRPr="00E617B4">
        <w:rPr>
          <w:rFonts w:ascii="Times New Roman" w:hAnsi="Times New Roman" w:cs="Times New Roman"/>
          <w:b/>
          <w:bCs/>
          <w:sz w:val="28"/>
          <w:szCs w:val="28"/>
        </w:rPr>
        <w:t xml:space="preserve">Question 1) </w:t>
      </w:r>
    </w:p>
    <w:p w14:paraId="17792994" w14:textId="67F362C9" w:rsidR="001B15D5" w:rsidRPr="00E617B4" w:rsidRDefault="00BE6311" w:rsidP="00E12EC1">
      <w:pPr>
        <w:rPr>
          <w:rFonts w:ascii="Times New Roman" w:hAnsi="Times New Roman" w:cs="Times New Roman"/>
          <w:b/>
          <w:bCs/>
          <w:sz w:val="24"/>
          <w:szCs w:val="24"/>
        </w:rPr>
      </w:pPr>
      <w:r w:rsidRPr="00E617B4">
        <w:rPr>
          <w:rFonts w:ascii="Times New Roman" w:hAnsi="Times New Roman" w:cs="Times New Roman"/>
          <w:b/>
          <w:bCs/>
          <w:sz w:val="24"/>
          <w:szCs w:val="24"/>
        </w:rPr>
        <w:t>What is the Advanced Measurement Approach for measurement of operational risk capital requirement?</w:t>
      </w:r>
    </w:p>
    <w:p w14:paraId="6CA6FC35" w14:textId="6D70FF46" w:rsidR="00BE6311" w:rsidRPr="00E617B4" w:rsidRDefault="00BE6311" w:rsidP="00E12EC1">
      <w:pPr>
        <w:rPr>
          <w:rFonts w:ascii="Times New Roman" w:hAnsi="Times New Roman" w:cs="Times New Roman"/>
          <w:sz w:val="24"/>
          <w:szCs w:val="24"/>
        </w:rPr>
      </w:pPr>
      <w:r w:rsidRPr="00E617B4">
        <w:rPr>
          <w:rFonts w:ascii="Times New Roman" w:hAnsi="Times New Roman" w:cs="Times New Roman"/>
          <w:b/>
          <w:bCs/>
          <w:sz w:val="24"/>
          <w:szCs w:val="24"/>
        </w:rPr>
        <w:t>Answer)</w:t>
      </w:r>
      <w:r w:rsidRPr="00E617B4">
        <w:rPr>
          <w:rFonts w:ascii="Times New Roman" w:hAnsi="Times New Roman" w:cs="Times New Roman"/>
          <w:sz w:val="24"/>
          <w:szCs w:val="24"/>
        </w:rPr>
        <w:t xml:space="preserve"> </w:t>
      </w:r>
      <w:r w:rsidRPr="00E617B4">
        <w:rPr>
          <w:rFonts w:ascii="Times New Roman" w:hAnsi="Times New Roman" w:cs="Times New Roman"/>
          <w:color w:val="372F32"/>
          <w:sz w:val="24"/>
          <w:szCs w:val="24"/>
          <w:shd w:val="clear" w:color="auto" w:fill="FFFFFF"/>
        </w:rPr>
        <w:t xml:space="preserve">Under the Advanced Measurement Approaches (AMA), the regulatory capital requirement will equal the risk measure generated by the bank’s internal operational risk measurement </w:t>
      </w:r>
      <w:r w:rsidR="00E617B4" w:rsidRPr="00E617B4">
        <w:rPr>
          <w:rFonts w:ascii="Times New Roman" w:hAnsi="Times New Roman" w:cs="Times New Roman"/>
          <w:color w:val="372F32"/>
          <w:sz w:val="24"/>
          <w:szCs w:val="24"/>
          <w:shd w:val="clear" w:color="auto" w:fill="FFFFFF"/>
        </w:rPr>
        <w:t>system.</w:t>
      </w:r>
      <w:r w:rsidRPr="00E617B4">
        <w:rPr>
          <w:rFonts w:ascii="Times New Roman" w:hAnsi="Times New Roman" w:cs="Times New Roman"/>
          <w:color w:val="372F32"/>
          <w:sz w:val="24"/>
          <w:szCs w:val="24"/>
          <w:shd w:val="clear" w:color="auto" w:fill="FFFFFF"/>
        </w:rPr>
        <w:t xml:space="preserve"> </w:t>
      </w:r>
      <w:r w:rsidRPr="00E617B4">
        <w:rPr>
          <w:rFonts w:ascii="Times New Roman" w:hAnsi="Times New Roman" w:cs="Times New Roman"/>
          <w:color w:val="212121"/>
          <w:sz w:val="24"/>
          <w:szCs w:val="24"/>
        </w:rPr>
        <w:t xml:space="preserve">The advanced approaches rule provides a risk-based regulatory capital framework that encompasses requirements for credit, operational, and market risk. For operational risk, the advanced approaches rule requires qualifying core banks and permits other qualifying banks to use advanced measurement approaches (AMA) to calculate risk-based capital requirements for operational risk. </w:t>
      </w:r>
    </w:p>
    <w:p w14:paraId="5D2671C4" w14:textId="63879453" w:rsidR="00BE6311" w:rsidRPr="00E617B4" w:rsidRDefault="00BE6311" w:rsidP="00E12EC1">
      <w:pPr>
        <w:rPr>
          <w:rFonts w:ascii="Times New Roman" w:hAnsi="Times New Roman" w:cs="Times New Roman"/>
          <w:color w:val="212121"/>
          <w:sz w:val="24"/>
          <w:szCs w:val="24"/>
        </w:rPr>
      </w:pPr>
      <w:r w:rsidRPr="00E617B4">
        <w:rPr>
          <w:rFonts w:ascii="Times New Roman" w:hAnsi="Times New Roman" w:cs="Times New Roman"/>
          <w:color w:val="212121"/>
          <w:sz w:val="24"/>
          <w:szCs w:val="24"/>
        </w:rPr>
        <w:t>The purpose of the AMA is to enhance operational risk measurement and management. The AMA framework requires effective governance, risk capture and assessment, and quantification of operational risk exposure; however, banks have flexibility to develop operational risk measurement and management programs, processes, and tools to support the framework that are appropriate relative to banks’ activities, business environment, and internal controls. As new methods and tools are developed, the agencies anticipate that the operational risk discipline will continue to mature and converge toward a narrower range of effective risk management and measurement practices.</w:t>
      </w:r>
    </w:p>
    <w:p w14:paraId="7B68C03B" w14:textId="77777777" w:rsidR="002A0A28" w:rsidRPr="00E617B4" w:rsidRDefault="002A0A28" w:rsidP="00E12EC1">
      <w:pPr>
        <w:rPr>
          <w:rFonts w:ascii="Times New Roman" w:hAnsi="Times New Roman" w:cs="Times New Roman"/>
          <w:sz w:val="24"/>
          <w:szCs w:val="24"/>
        </w:rPr>
      </w:pPr>
      <w:r w:rsidRPr="00E617B4">
        <w:rPr>
          <w:rFonts w:ascii="Times New Roman" w:hAnsi="Times New Roman" w:cs="Times New Roman"/>
          <w:sz w:val="24"/>
          <w:szCs w:val="24"/>
        </w:rPr>
        <w:t>One of the most visible effects of implementing an advanced approach for operational risk management is the positive impact on reputation and perception by stakeholders. More sophisticated and advanced risk management certainly sends a clear message of solid and sound risk management to shareholders, clients, rating agencies and the market. This reassurance is extremely important and gives comfort to stakeholders, especially in times of economic turbulence and uncertainty.</w:t>
      </w:r>
    </w:p>
    <w:p w14:paraId="29ACC92B" w14:textId="77777777" w:rsidR="002A0A28" w:rsidRPr="00E617B4" w:rsidRDefault="002A0A28" w:rsidP="00E12EC1">
      <w:pPr>
        <w:rPr>
          <w:rFonts w:ascii="Times New Roman" w:hAnsi="Times New Roman" w:cs="Times New Roman"/>
          <w:sz w:val="24"/>
          <w:szCs w:val="24"/>
        </w:rPr>
      </w:pPr>
      <w:r w:rsidRPr="00E617B4">
        <w:rPr>
          <w:rFonts w:ascii="Times New Roman" w:hAnsi="Times New Roman" w:cs="Times New Roman"/>
          <w:sz w:val="24"/>
          <w:szCs w:val="24"/>
        </w:rPr>
        <w:t xml:space="preserve"> The use of internal models to calculate capital requirements under the AMA may also lead to a reduction in regulatory and economic capital. Capital is based on risk exposures and not on income levels as is the case for the more basic approaches. The most significant benefit, however, is that implementation of the AMA leads to improved risk management processes and more sophisticated risk measurement mechanisms.</w:t>
      </w:r>
    </w:p>
    <w:p w14:paraId="0DDE95B7" w14:textId="77777777" w:rsidR="002A0A28" w:rsidRPr="00E617B4" w:rsidRDefault="002A0A28" w:rsidP="00E12EC1">
      <w:pPr>
        <w:rPr>
          <w:rFonts w:ascii="Times New Roman" w:hAnsi="Times New Roman" w:cs="Times New Roman"/>
          <w:sz w:val="24"/>
          <w:szCs w:val="24"/>
        </w:rPr>
      </w:pPr>
      <w:r w:rsidRPr="00E617B4">
        <w:rPr>
          <w:rFonts w:ascii="Times New Roman" w:hAnsi="Times New Roman" w:cs="Times New Roman"/>
          <w:sz w:val="24"/>
          <w:szCs w:val="24"/>
        </w:rPr>
        <w:t xml:space="preserve"> In many cases advanced risk measurement techniques (such as risk scenarios and the use of external data) were put in place earlier than originally anticipated to facilitate the successful implementation of an AMA system. Better-quality risk management ultimately protects the bank’s value and the interests of stakeholders. The AMA implementation has also resulted in improved relationships between deployed risk managers and centralised (Group function) risk specialists. </w:t>
      </w:r>
    </w:p>
    <w:p w14:paraId="635215B5" w14:textId="2E234DE1" w:rsidR="002A0A28" w:rsidRPr="00E617B4" w:rsidRDefault="002A0A28" w:rsidP="00E12EC1">
      <w:pPr>
        <w:rPr>
          <w:rFonts w:ascii="Times New Roman" w:hAnsi="Times New Roman" w:cs="Times New Roman"/>
          <w:sz w:val="24"/>
          <w:szCs w:val="24"/>
        </w:rPr>
      </w:pPr>
      <w:r w:rsidRPr="00E617B4">
        <w:rPr>
          <w:rFonts w:ascii="Times New Roman" w:hAnsi="Times New Roman" w:cs="Times New Roman"/>
          <w:sz w:val="24"/>
          <w:szCs w:val="24"/>
        </w:rPr>
        <w:t>Deployed risk managers had to take on extensive responsibility for the implementation of all operational risk measurement and management components in their business units. Guidance, frameworks and policies for these implementations were developed by centralised risk specialists, and therefore close cooperation between Group functions and business risk managers was required.</w:t>
      </w:r>
    </w:p>
    <w:p w14:paraId="1B6F75D3" w14:textId="77777777" w:rsidR="00E12EC1" w:rsidRPr="00E617B4" w:rsidRDefault="00E12EC1" w:rsidP="00E12EC1">
      <w:pPr>
        <w:rPr>
          <w:rFonts w:ascii="Times New Roman" w:hAnsi="Times New Roman" w:cs="Times New Roman"/>
          <w:sz w:val="24"/>
          <w:szCs w:val="24"/>
        </w:rPr>
      </w:pPr>
    </w:p>
    <w:p w14:paraId="3E959A46" w14:textId="77777777" w:rsidR="006D7F6F" w:rsidRPr="00E617B4" w:rsidRDefault="006D7F6F" w:rsidP="00E12EC1">
      <w:pPr>
        <w:rPr>
          <w:rFonts w:ascii="Times New Roman" w:hAnsi="Times New Roman" w:cs="Times New Roman"/>
          <w:b/>
          <w:bCs/>
          <w:color w:val="212121"/>
          <w:sz w:val="24"/>
          <w:szCs w:val="24"/>
        </w:rPr>
      </w:pPr>
    </w:p>
    <w:p w14:paraId="7A687AE4" w14:textId="0C4C4081" w:rsidR="006D7F6F" w:rsidRPr="00E617B4" w:rsidRDefault="00E12EC1" w:rsidP="00E12EC1">
      <w:pPr>
        <w:rPr>
          <w:rFonts w:ascii="Times New Roman" w:hAnsi="Times New Roman" w:cs="Times New Roman"/>
          <w:color w:val="212121"/>
          <w:sz w:val="24"/>
          <w:szCs w:val="24"/>
        </w:rPr>
      </w:pPr>
      <w:r w:rsidRPr="00E617B4">
        <w:rPr>
          <w:rFonts w:ascii="Times New Roman" w:hAnsi="Times New Roman" w:cs="Times New Roman"/>
          <w:b/>
          <w:bCs/>
          <w:color w:val="212121"/>
          <w:sz w:val="28"/>
          <w:szCs w:val="28"/>
        </w:rPr>
        <w:t>Question 2)</w:t>
      </w:r>
      <w:r w:rsidRPr="00E617B4">
        <w:rPr>
          <w:rFonts w:ascii="Times New Roman" w:hAnsi="Times New Roman" w:cs="Times New Roman"/>
          <w:color w:val="212121"/>
          <w:sz w:val="24"/>
          <w:szCs w:val="24"/>
        </w:rPr>
        <w:t xml:space="preserve"> </w:t>
      </w:r>
    </w:p>
    <w:p w14:paraId="4CE80A3E" w14:textId="19FF839A" w:rsidR="00A16C0B" w:rsidRPr="00E617B4" w:rsidRDefault="00A16C0B" w:rsidP="00E12EC1">
      <w:pPr>
        <w:rPr>
          <w:rFonts w:ascii="Times New Roman" w:hAnsi="Times New Roman" w:cs="Times New Roman"/>
          <w:color w:val="212121"/>
          <w:sz w:val="24"/>
          <w:szCs w:val="24"/>
        </w:rPr>
      </w:pPr>
      <w:r w:rsidRPr="00E617B4">
        <w:rPr>
          <w:rFonts w:ascii="Times New Roman" w:hAnsi="Times New Roman" w:cs="Times New Roman"/>
          <w:color w:val="212121"/>
          <w:sz w:val="24"/>
          <w:szCs w:val="24"/>
        </w:rPr>
        <w:t>What are its advantages and drawbacks over the existing operational risk measurement approaches?</w:t>
      </w:r>
    </w:p>
    <w:p w14:paraId="01A3B5FE" w14:textId="12F640CF" w:rsidR="00BE6311" w:rsidRPr="00E617B4" w:rsidRDefault="00E12EC1" w:rsidP="00E12EC1">
      <w:pPr>
        <w:rPr>
          <w:rFonts w:ascii="Times New Roman" w:hAnsi="Times New Roman" w:cs="Times New Roman"/>
          <w:sz w:val="24"/>
          <w:szCs w:val="24"/>
        </w:rPr>
      </w:pPr>
      <w:r w:rsidRPr="00E617B4">
        <w:rPr>
          <w:rFonts w:ascii="Times New Roman" w:hAnsi="Times New Roman" w:cs="Times New Roman"/>
          <w:b/>
          <w:bCs/>
          <w:sz w:val="24"/>
          <w:szCs w:val="24"/>
        </w:rPr>
        <w:t>Answer)</w:t>
      </w:r>
      <w:r w:rsidRPr="00E617B4">
        <w:rPr>
          <w:rFonts w:ascii="Times New Roman" w:hAnsi="Times New Roman" w:cs="Times New Roman"/>
          <w:sz w:val="24"/>
          <w:szCs w:val="24"/>
        </w:rPr>
        <w:t xml:space="preserve"> </w:t>
      </w:r>
      <w:r w:rsidR="00A16C0B" w:rsidRPr="00E617B4">
        <w:rPr>
          <w:rFonts w:ascii="Times New Roman" w:hAnsi="Times New Roman" w:cs="Times New Roman"/>
          <w:sz w:val="24"/>
          <w:szCs w:val="24"/>
        </w:rPr>
        <w:t>The most sophisticated and complex option under Basel II is the advanced measurement approach (AMA). This approach allows a bank to calculate its regulatory capital charge using internal models, based on internal risk variables and profiles, and not on exposure proxies such as gross income. This is the only risk-sensitive approach for operational risk allowed and described in Basel II.</w:t>
      </w:r>
    </w:p>
    <w:p w14:paraId="446F41C9" w14:textId="1B862C6D" w:rsidR="00F3305D" w:rsidRPr="00E617B4" w:rsidRDefault="00A16C0B" w:rsidP="00E12EC1">
      <w:pPr>
        <w:rPr>
          <w:rFonts w:ascii="Times New Roman" w:hAnsi="Times New Roman" w:cs="Times New Roman"/>
          <w:sz w:val="24"/>
          <w:szCs w:val="24"/>
        </w:rPr>
      </w:pPr>
      <w:r w:rsidRPr="00E617B4">
        <w:rPr>
          <w:rFonts w:ascii="Times New Roman" w:hAnsi="Times New Roman" w:cs="Times New Roman"/>
          <w:sz w:val="24"/>
          <w:szCs w:val="24"/>
        </w:rPr>
        <w:t>The anticipated advantages of AMA over the existing operational risk measurement approaches are</w:t>
      </w:r>
      <w:r w:rsidR="00485A7E" w:rsidRPr="00E617B4">
        <w:rPr>
          <w:rFonts w:ascii="Times New Roman" w:hAnsi="Times New Roman" w:cs="Times New Roman"/>
          <w:sz w:val="24"/>
          <w:szCs w:val="24"/>
        </w:rPr>
        <w:t xml:space="preserve">, </w:t>
      </w:r>
      <w:r w:rsidRPr="00E617B4">
        <w:rPr>
          <w:rFonts w:ascii="Times New Roman" w:hAnsi="Times New Roman" w:cs="Times New Roman"/>
          <w:sz w:val="24"/>
          <w:szCs w:val="24"/>
        </w:rPr>
        <w:t xml:space="preserve">it would reduce or eliminate incentives for regulatory arbitrage since the capital charge would reflect the bank’s own estimate of risk. It would deal in a more flexible manner with financial innovations, </w:t>
      </w:r>
      <w:r w:rsidRPr="00E617B4">
        <w:rPr>
          <w:rFonts w:ascii="Times New Roman" w:hAnsi="Times New Roman" w:cs="Times New Roman"/>
        </w:rPr>
        <w:t>incorporating them in the regulatory framework as soon as they are incorporated in the bank’s own risk management models</w:t>
      </w:r>
      <w:r w:rsidR="00F3305D" w:rsidRPr="00E617B4">
        <w:rPr>
          <w:rFonts w:ascii="Times New Roman" w:hAnsi="Times New Roman" w:cs="Times New Roman"/>
        </w:rPr>
        <w:t>. I</w:t>
      </w:r>
      <w:r w:rsidRPr="00E617B4">
        <w:rPr>
          <w:rFonts w:ascii="Times New Roman" w:hAnsi="Times New Roman" w:cs="Times New Roman"/>
        </w:rPr>
        <w:t xml:space="preserve">t would provide banks with an incentive to improve their risk management processes and procedures in order to qualify for the AMA; and compliance cost would be reduced to the extent that the business is regulated in the same way that it is managed. </w:t>
      </w:r>
    </w:p>
    <w:p w14:paraId="36AF1953" w14:textId="466F916A" w:rsidR="00A16C0B" w:rsidRPr="00E617B4" w:rsidRDefault="00A16C0B" w:rsidP="00E12EC1">
      <w:pPr>
        <w:rPr>
          <w:rFonts w:ascii="Times New Roman" w:hAnsi="Times New Roman" w:cs="Times New Roman"/>
          <w:sz w:val="24"/>
          <w:szCs w:val="24"/>
        </w:rPr>
      </w:pPr>
      <w:r w:rsidRPr="00E617B4">
        <w:rPr>
          <w:rFonts w:ascii="Times New Roman" w:hAnsi="Times New Roman" w:cs="Times New Roman"/>
          <w:sz w:val="24"/>
          <w:szCs w:val="24"/>
        </w:rPr>
        <w:t xml:space="preserve">The perceived benefits of the AMA </w:t>
      </w:r>
      <w:r w:rsidR="00F3305D" w:rsidRPr="00E617B4">
        <w:rPr>
          <w:rFonts w:ascii="Times New Roman" w:hAnsi="Times New Roman" w:cs="Times New Roman"/>
          <w:sz w:val="24"/>
          <w:szCs w:val="24"/>
        </w:rPr>
        <w:t>are</w:t>
      </w:r>
      <w:r w:rsidRPr="00E617B4">
        <w:rPr>
          <w:rFonts w:ascii="Times New Roman" w:hAnsi="Times New Roman" w:cs="Times New Roman"/>
          <w:sz w:val="24"/>
          <w:szCs w:val="24"/>
        </w:rPr>
        <w:t xml:space="preserve"> </w:t>
      </w:r>
    </w:p>
    <w:p w14:paraId="766B491C" w14:textId="77777777" w:rsidR="00A16C0B" w:rsidRPr="00E617B4" w:rsidRDefault="00A16C0B" w:rsidP="00E12EC1">
      <w:pPr>
        <w:rPr>
          <w:rFonts w:ascii="Times New Roman" w:hAnsi="Times New Roman" w:cs="Times New Roman"/>
          <w:sz w:val="24"/>
          <w:szCs w:val="24"/>
        </w:rPr>
      </w:pPr>
      <w:r w:rsidRPr="00E617B4">
        <w:rPr>
          <w:rFonts w:ascii="Times New Roman" w:hAnsi="Times New Roman" w:cs="Times New Roman"/>
          <w:sz w:val="24"/>
          <w:szCs w:val="24"/>
        </w:rPr>
        <w:t xml:space="preserve">1. Aligning regulatory capital with economic capital is a good idea. </w:t>
      </w:r>
    </w:p>
    <w:p w14:paraId="0CE0ADB6" w14:textId="77777777" w:rsidR="00A16C0B" w:rsidRPr="00E617B4" w:rsidRDefault="00A16C0B" w:rsidP="00E12EC1">
      <w:pPr>
        <w:rPr>
          <w:rFonts w:ascii="Times New Roman" w:hAnsi="Times New Roman" w:cs="Times New Roman"/>
          <w:sz w:val="24"/>
          <w:szCs w:val="24"/>
        </w:rPr>
      </w:pPr>
      <w:r w:rsidRPr="00E617B4">
        <w:rPr>
          <w:rFonts w:ascii="Times New Roman" w:hAnsi="Times New Roman" w:cs="Times New Roman"/>
          <w:sz w:val="24"/>
          <w:szCs w:val="24"/>
        </w:rPr>
        <w:t xml:space="preserve">2. Internal models are relevant and conducive to sound risk management. </w:t>
      </w:r>
    </w:p>
    <w:p w14:paraId="78D0CB17" w14:textId="7467B0B4" w:rsidR="00A16C0B" w:rsidRPr="00E617B4" w:rsidRDefault="00A16C0B" w:rsidP="00E12EC1">
      <w:pPr>
        <w:rPr>
          <w:rFonts w:ascii="Times New Roman" w:hAnsi="Times New Roman" w:cs="Times New Roman"/>
          <w:sz w:val="24"/>
          <w:szCs w:val="24"/>
        </w:rPr>
      </w:pPr>
      <w:r w:rsidRPr="00E617B4">
        <w:rPr>
          <w:rFonts w:ascii="Times New Roman" w:hAnsi="Times New Roman" w:cs="Times New Roman"/>
          <w:sz w:val="24"/>
          <w:szCs w:val="24"/>
        </w:rPr>
        <w:t xml:space="preserve">3. An incentive to use the AMA is that it produces a lower capital charge than the BIA and STA. </w:t>
      </w:r>
    </w:p>
    <w:p w14:paraId="48F2CE9E" w14:textId="7158ADB9" w:rsidR="007D486B" w:rsidRPr="00E617B4" w:rsidRDefault="00485A7E" w:rsidP="00E12EC1">
      <w:pPr>
        <w:rPr>
          <w:rFonts w:ascii="Times New Roman" w:hAnsi="Times New Roman" w:cs="Times New Roman"/>
          <w:sz w:val="24"/>
          <w:szCs w:val="24"/>
        </w:rPr>
      </w:pPr>
      <w:r w:rsidRPr="00E617B4">
        <w:rPr>
          <w:rFonts w:ascii="Times New Roman" w:hAnsi="Times New Roman" w:cs="Times New Roman"/>
          <w:sz w:val="24"/>
          <w:szCs w:val="24"/>
        </w:rPr>
        <w:t>Drawbacks are as follows:</w:t>
      </w:r>
    </w:p>
    <w:p w14:paraId="3172AD7C" w14:textId="77777777" w:rsidR="007D486B" w:rsidRPr="00E617B4" w:rsidRDefault="007D486B" w:rsidP="00E12EC1">
      <w:pPr>
        <w:rPr>
          <w:rFonts w:ascii="Times New Roman" w:eastAsia="Times New Roman" w:hAnsi="Times New Roman" w:cs="Times New Roman"/>
          <w:i/>
          <w:iCs/>
          <w:color w:val="262626"/>
          <w:sz w:val="24"/>
          <w:szCs w:val="24"/>
          <w:lang w:eastAsia="en-IN"/>
        </w:rPr>
      </w:pPr>
      <w:r w:rsidRPr="00E617B4">
        <w:rPr>
          <w:rFonts w:ascii="Times New Roman" w:eastAsia="Times New Roman" w:hAnsi="Times New Roman" w:cs="Times New Roman"/>
          <w:i/>
          <w:iCs/>
          <w:color w:val="262626"/>
          <w:sz w:val="24"/>
          <w:szCs w:val="24"/>
          <w:lang w:eastAsia="en-IN"/>
        </w:rPr>
        <w:t>1. Difficulties in Risk Modelling</w:t>
      </w:r>
    </w:p>
    <w:p w14:paraId="17764AD0" w14:textId="1A533288"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The most obvious issue is that both credit risk and market risk exhibit similar properties. They are both characterised by the concept of ‘risk exposure’ and both are subject to industry-wide standards for assessing and rating the probability of a loss event</w:t>
      </w:r>
      <w:r w:rsidRPr="00E617B4">
        <w:rPr>
          <w:rFonts w:ascii="Times New Roman" w:eastAsia="Times New Roman" w:hAnsi="Times New Roman" w:cs="Times New Roman"/>
          <w:color w:val="262626"/>
          <w:sz w:val="24"/>
          <w:szCs w:val="24"/>
          <w:vertAlign w:val="superscript"/>
          <w:lang w:eastAsia="en-IN"/>
        </w:rPr>
        <w:t>2</w:t>
      </w:r>
      <w:r w:rsidRPr="00E617B4">
        <w:rPr>
          <w:rFonts w:ascii="Times New Roman" w:eastAsia="Times New Roman" w:hAnsi="Times New Roman" w:cs="Times New Roman"/>
          <w:color w:val="262626"/>
          <w:sz w:val="24"/>
          <w:szCs w:val="24"/>
          <w:lang w:eastAsia="en-IN"/>
        </w:rPr>
        <w:t xml:space="preserve">. Operational risk does not exhibit these properties, largely because there is no systematic, consistent, industry-standard method for collecting and collating the data. </w:t>
      </w:r>
    </w:p>
    <w:p w14:paraId="3020BC18" w14:textId="77777777"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Risk modellers wishing to fit loss data distributions to the data therefore face a challenge because there is little consistent data with which to work, there is no agreed definition of what ‘risk exposure’ means, and there are no standards for assessing the probabilities of loss events.</w:t>
      </w:r>
    </w:p>
    <w:p w14:paraId="72DCB6D6" w14:textId="77777777" w:rsidR="007D486B" w:rsidRPr="00E617B4" w:rsidRDefault="007D486B" w:rsidP="00E12EC1">
      <w:pPr>
        <w:rPr>
          <w:rFonts w:ascii="Times New Roman" w:eastAsia="Times New Roman" w:hAnsi="Times New Roman" w:cs="Times New Roman"/>
          <w:i/>
          <w:iCs/>
          <w:color w:val="262626"/>
          <w:sz w:val="24"/>
          <w:szCs w:val="24"/>
          <w:lang w:eastAsia="en-IN"/>
        </w:rPr>
      </w:pPr>
      <w:r w:rsidRPr="00E617B4">
        <w:rPr>
          <w:rFonts w:ascii="Times New Roman" w:eastAsia="Times New Roman" w:hAnsi="Times New Roman" w:cs="Times New Roman"/>
          <w:i/>
          <w:iCs/>
          <w:color w:val="262626"/>
          <w:sz w:val="24"/>
          <w:szCs w:val="24"/>
          <w:lang w:eastAsia="en-IN"/>
        </w:rPr>
        <w:t>2. Data Collection Issues</w:t>
      </w:r>
    </w:p>
    <w:p w14:paraId="185F32F2" w14:textId="2A9F03AD"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 xml:space="preserve">In the case of market risk and credit risk, all the data is explicitly available in electronic form. This data can be collected, collated and analysed through automated systems, which means that historical records of loss data are complete, consistent and homogeneous. With regard to operational risk the situation could not be more different. Each loss event is the result of a complex interaction between many potential causal factors, and a significant loss event can </w:t>
      </w:r>
      <w:r w:rsidRPr="00E617B4">
        <w:rPr>
          <w:rFonts w:ascii="Times New Roman" w:eastAsia="Times New Roman" w:hAnsi="Times New Roman" w:cs="Times New Roman"/>
          <w:color w:val="262626"/>
          <w:sz w:val="24"/>
          <w:szCs w:val="24"/>
          <w:lang w:eastAsia="en-IN"/>
        </w:rPr>
        <w:lastRenderedPageBreak/>
        <w:t xml:space="preserve">usually be analysed retrospectively into the ‘unlucky’ alignment of many minor factors, each of which at an individual level would be considered to be insignificant. </w:t>
      </w:r>
    </w:p>
    <w:p w14:paraId="1732237E" w14:textId="315CC988"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Another problem is that while this analysis can be done historically for events that have occurred, the complexity of the potential dependency trees that would need to be developed to apply this analysis for forecasting purposes is beyond the economic scope of current modelling.</w:t>
      </w:r>
    </w:p>
    <w:p w14:paraId="7C272D53" w14:textId="09A5C4E3"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The data collection process is also subject to the negative effects of a traditional risk culture in banking institutions in which employees have been encouraged to hide errors, poor decisions and criminal activities rather than report them</w:t>
      </w:r>
      <w:r w:rsidR="000E6154" w:rsidRPr="00E617B4">
        <w:rPr>
          <w:rFonts w:ascii="Times New Roman" w:eastAsia="Times New Roman" w:hAnsi="Times New Roman" w:cs="Times New Roman"/>
          <w:color w:val="262626"/>
          <w:sz w:val="24"/>
          <w:szCs w:val="24"/>
          <w:lang w:eastAsia="en-IN"/>
        </w:rPr>
        <w:t>.</w:t>
      </w:r>
    </w:p>
    <w:p w14:paraId="0602C84F" w14:textId="77777777" w:rsidR="007D486B" w:rsidRPr="00E617B4" w:rsidRDefault="007D486B" w:rsidP="00E12EC1">
      <w:pPr>
        <w:rPr>
          <w:rFonts w:ascii="Times New Roman" w:eastAsia="Times New Roman" w:hAnsi="Times New Roman" w:cs="Times New Roman"/>
          <w:i/>
          <w:iCs/>
          <w:color w:val="262626"/>
          <w:sz w:val="24"/>
          <w:szCs w:val="24"/>
          <w:lang w:eastAsia="en-IN"/>
        </w:rPr>
      </w:pPr>
      <w:r w:rsidRPr="00E617B4">
        <w:rPr>
          <w:rFonts w:ascii="Times New Roman" w:eastAsia="Times New Roman" w:hAnsi="Times New Roman" w:cs="Times New Roman"/>
          <w:i/>
          <w:iCs/>
          <w:color w:val="262626"/>
          <w:sz w:val="24"/>
          <w:szCs w:val="24"/>
          <w:lang w:eastAsia="en-IN"/>
        </w:rPr>
        <w:t>3. Homogeneity of Loss Data</w:t>
      </w:r>
    </w:p>
    <w:p w14:paraId="33CB3B9E" w14:textId="720D8CDD"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Another issue is that of homogeneity of the loss data. In order to fit a loss distribution to given data it is essential that the data elements are all from the same homogeneous distribution, and this leads to the need to define homogeneous cells at an appropriate level in the hierarchy of the business line/event type matrix</w:t>
      </w:r>
    </w:p>
    <w:p w14:paraId="1BA5496F" w14:textId="0CE1E177" w:rsidR="007D486B" w:rsidRPr="00E617B4" w:rsidRDefault="007D486B" w:rsidP="00E12EC1">
      <w:pPr>
        <w:rPr>
          <w:rFonts w:ascii="Times New Roman" w:eastAsia="Times New Roman" w:hAnsi="Times New Roman" w:cs="Times New Roman"/>
          <w:color w:val="262626"/>
          <w:sz w:val="24"/>
          <w:szCs w:val="24"/>
          <w:lang w:eastAsia="en-IN"/>
        </w:rPr>
      </w:pPr>
      <w:r w:rsidRPr="00E617B4">
        <w:rPr>
          <w:rFonts w:ascii="Times New Roman" w:eastAsia="Times New Roman" w:hAnsi="Times New Roman" w:cs="Times New Roman"/>
          <w:color w:val="262626"/>
          <w:sz w:val="24"/>
          <w:szCs w:val="24"/>
          <w:lang w:eastAsia="en-IN"/>
        </w:rPr>
        <w:t>Part of the problem is the context dependency of operational risk</w:t>
      </w:r>
      <w:r w:rsidR="0041554F" w:rsidRPr="00E617B4">
        <w:rPr>
          <w:rFonts w:ascii="Times New Roman" w:eastAsia="Times New Roman" w:hAnsi="Times New Roman" w:cs="Times New Roman"/>
          <w:color w:val="262626"/>
          <w:sz w:val="24"/>
          <w:szCs w:val="24"/>
          <w:vertAlign w:val="superscript"/>
          <w:lang w:eastAsia="en-IN"/>
        </w:rPr>
        <w:t>.</w:t>
      </w:r>
      <w:r w:rsidRPr="00E617B4">
        <w:rPr>
          <w:rFonts w:ascii="Times New Roman" w:eastAsia="Times New Roman" w:hAnsi="Times New Roman" w:cs="Times New Roman"/>
          <w:color w:val="262626"/>
          <w:sz w:val="24"/>
          <w:szCs w:val="24"/>
          <w:lang w:eastAsia="en-IN"/>
        </w:rPr>
        <w:t xml:space="preserve"> The size of the loss and probability of the event differ considerably according to the circumstances surrounding the event. It is a fact that the business context, the nature of the operational infrastructure and the threat scenarios change over time, in some cases quite quickly, and so historical data collected in one context may not be applicable in the current context. This brings into question the relevance of historical loss data. Even within the one-year time period specified in Basel II within which the accumulated losses must be covered by capital allocation, the context of those losses can change dramatically, which means that the size of potential losses and the probability of them occurring is a continuously moving target. How useful then is the assumed loss distributio</w:t>
      </w:r>
      <w:r w:rsidR="0041554F" w:rsidRPr="00E617B4">
        <w:rPr>
          <w:rFonts w:ascii="Times New Roman" w:eastAsia="Times New Roman" w:hAnsi="Times New Roman" w:cs="Times New Roman"/>
          <w:color w:val="262626"/>
          <w:sz w:val="24"/>
          <w:szCs w:val="24"/>
          <w:lang w:eastAsia="en-IN"/>
        </w:rPr>
        <w:t>n</w:t>
      </w:r>
    </w:p>
    <w:p w14:paraId="50934A5A" w14:textId="2A2A70EF" w:rsidR="00485A7E" w:rsidRDefault="00485A7E" w:rsidP="00E12EC1">
      <w:pPr>
        <w:rPr>
          <w:rFonts w:ascii="Times New Roman" w:eastAsia="Times New Roman" w:hAnsi="Times New Roman" w:cs="Times New Roman"/>
          <w:color w:val="262626"/>
          <w:sz w:val="24"/>
          <w:szCs w:val="24"/>
          <w:lang w:eastAsia="en-IN"/>
        </w:rPr>
      </w:pPr>
    </w:p>
    <w:p w14:paraId="393B40AA" w14:textId="312C8A4F" w:rsidR="00E617B4" w:rsidRDefault="00E617B4" w:rsidP="00E12EC1">
      <w:pPr>
        <w:rPr>
          <w:rFonts w:ascii="Times New Roman" w:eastAsia="Times New Roman" w:hAnsi="Times New Roman" w:cs="Times New Roman"/>
          <w:color w:val="262626"/>
          <w:sz w:val="24"/>
          <w:szCs w:val="24"/>
          <w:lang w:eastAsia="en-IN"/>
        </w:rPr>
      </w:pPr>
    </w:p>
    <w:p w14:paraId="14C2B64B" w14:textId="0CD81A90" w:rsidR="00E617B4" w:rsidRDefault="00E617B4" w:rsidP="00E12EC1">
      <w:pPr>
        <w:rPr>
          <w:rFonts w:ascii="Times New Roman" w:eastAsia="Times New Roman" w:hAnsi="Times New Roman" w:cs="Times New Roman"/>
          <w:color w:val="262626"/>
          <w:sz w:val="24"/>
          <w:szCs w:val="24"/>
          <w:lang w:eastAsia="en-IN"/>
        </w:rPr>
      </w:pPr>
    </w:p>
    <w:p w14:paraId="597FCC72" w14:textId="16D30BDB" w:rsidR="00E617B4" w:rsidRDefault="00E617B4" w:rsidP="00E12EC1">
      <w:pPr>
        <w:rPr>
          <w:rFonts w:ascii="Times New Roman" w:eastAsia="Times New Roman" w:hAnsi="Times New Roman" w:cs="Times New Roman"/>
          <w:color w:val="262626"/>
          <w:sz w:val="24"/>
          <w:szCs w:val="24"/>
          <w:lang w:eastAsia="en-IN"/>
        </w:rPr>
      </w:pPr>
    </w:p>
    <w:p w14:paraId="397A8D40" w14:textId="2D89AF09" w:rsidR="00E617B4" w:rsidRDefault="00E617B4" w:rsidP="00E12EC1">
      <w:pPr>
        <w:rPr>
          <w:rFonts w:ascii="Times New Roman" w:eastAsia="Times New Roman" w:hAnsi="Times New Roman" w:cs="Times New Roman"/>
          <w:color w:val="262626"/>
          <w:sz w:val="24"/>
          <w:szCs w:val="24"/>
          <w:lang w:eastAsia="en-IN"/>
        </w:rPr>
      </w:pPr>
    </w:p>
    <w:p w14:paraId="160CBD7F" w14:textId="01CE60B8" w:rsidR="00E617B4" w:rsidRDefault="00E617B4" w:rsidP="00E12EC1">
      <w:pPr>
        <w:rPr>
          <w:rFonts w:ascii="Times New Roman" w:eastAsia="Times New Roman" w:hAnsi="Times New Roman" w:cs="Times New Roman"/>
          <w:color w:val="262626"/>
          <w:sz w:val="24"/>
          <w:szCs w:val="24"/>
          <w:lang w:eastAsia="en-IN"/>
        </w:rPr>
      </w:pPr>
    </w:p>
    <w:p w14:paraId="6561336E" w14:textId="5CFEF2D4" w:rsidR="00E617B4" w:rsidRDefault="00E617B4" w:rsidP="00E12EC1">
      <w:pPr>
        <w:rPr>
          <w:rFonts w:ascii="Times New Roman" w:eastAsia="Times New Roman" w:hAnsi="Times New Roman" w:cs="Times New Roman"/>
          <w:color w:val="262626"/>
          <w:sz w:val="24"/>
          <w:szCs w:val="24"/>
          <w:lang w:eastAsia="en-IN"/>
        </w:rPr>
      </w:pPr>
    </w:p>
    <w:p w14:paraId="3BB6A720" w14:textId="693656FB" w:rsidR="00E617B4" w:rsidRDefault="00E617B4" w:rsidP="00E12EC1">
      <w:pPr>
        <w:rPr>
          <w:rFonts w:ascii="Times New Roman" w:eastAsia="Times New Roman" w:hAnsi="Times New Roman" w:cs="Times New Roman"/>
          <w:color w:val="262626"/>
          <w:sz w:val="24"/>
          <w:szCs w:val="24"/>
          <w:lang w:eastAsia="en-IN"/>
        </w:rPr>
      </w:pPr>
    </w:p>
    <w:p w14:paraId="64B3CBA6" w14:textId="609891CB" w:rsidR="00E617B4" w:rsidRDefault="00E617B4" w:rsidP="00E12EC1">
      <w:pPr>
        <w:rPr>
          <w:rFonts w:ascii="Times New Roman" w:eastAsia="Times New Roman" w:hAnsi="Times New Roman" w:cs="Times New Roman"/>
          <w:color w:val="262626"/>
          <w:sz w:val="24"/>
          <w:szCs w:val="24"/>
          <w:lang w:eastAsia="en-IN"/>
        </w:rPr>
      </w:pPr>
    </w:p>
    <w:p w14:paraId="581E0790" w14:textId="131511F5" w:rsidR="00E617B4" w:rsidRDefault="00E617B4" w:rsidP="00E12EC1">
      <w:pPr>
        <w:rPr>
          <w:rFonts w:ascii="Times New Roman" w:eastAsia="Times New Roman" w:hAnsi="Times New Roman" w:cs="Times New Roman"/>
          <w:color w:val="262626"/>
          <w:sz w:val="24"/>
          <w:szCs w:val="24"/>
          <w:lang w:eastAsia="en-IN"/>
        </w:rPr>
      </w:pPr>
    </w:p>
    <w:p w14:paraId="2A5E9409" w14:textId="0961E14F" w:rsidR="00E617B4" w:rsidRDefault="00E617B4" w:rsidP="00E12EC1">
      <w:pPr>
        <w:rPr>
          <w:rFonts w:ascii="Times New Roman" w:eastAsia="Times New Roman" w:hAnsi="Times New Roman" w:cs="Times New Roman"/>
          <w:color w:val="262626"/>
          <w:sz w:val="24"/>
          <w:szCs w:val="24"/>
          <w:lang w:eastAsia="en-IN"/>
        </w:rPr>
      </w:pPr>
    </w:p>
    <w:p w14:paraId="11698615" w14:textId="184995F1" w:rsidR="00E617B4" w:rsidRDefault="00E617B4" w:rsidP="00E12EC1">
      <w:pPr>
        <w:rPr>
          <w:rFonts w:ascii="Times New Roman" w:eastAsia="Times New Roman" w:hAnsi="Times New Roman" w:cs="Times New Roman"/>
          <w:color w:val="262626"/>
          <w:sz w:val="24"/>
          <w:szCs w:val="24"/>
          <w:lang w:eastAsia="en-IN"/>
        </w:rPr>
      </w:pPr>
    </w:p>
    <w:p w14:paraId="5A0A0EDF" w14:textId="77777777" w:rsidR="00E617B4" w:rsidRPr="00E617B4" w:rsidRDefault="00E617B4" w:rsidP="00E12EC1">
      <w:pPr>
        <w:rPr>
          <w:rFonts w:ascii="Times New Roman" w:eastAsia="Times New Roman" w:hAnsi="Times New Roman" w:cs="Times New Roman"/>
          <w:color w:val="262626"/>
          <w:sz w:val="24"/>
          <w:szCs w:val="24"/>
          <w:lang w:eastAsia="en-IN"/>
        </w:rPr>
      </w:pPr>
    </w:p>
    <w:p w14:paraId="14058E36" w14:textId="2E28F444" w:rsidR="00485A7E" w:rsidRPr="00E617B4" w:rsidRDefault="00485A7E" w:rsidP="00E12EC1">
      <w:pPr>
        <w:rPr>
          <w:rFonts w:ascii="Times New Roman" w:eastAsia="Times New Roman" w:hAnsi="Times New Roman" w:cs="Times New Roman"/>
          <w:b/>
          <w:bCs/>
          <w:color w:val="262626"/>
          <w:sz w:val="28"/>
          <w:szCs w:val="28"/>
          <w:lang w:eastAsia="en-IN"/>
        </w:rPr>
      </w:pPr>
      <w:r w:rsidRPr="00E617B4">
        <w:rPr>
          <w:rFonts w:ascii="Times New Roman" w:eastAsia="Times New Roman" w:hAnsi="Times New Roman" w:cs="Times New Roman"/>
          <w:b/>
          <w:bCs/>
          <w:color w:val="262626"/>
          <w:sz w:val="28"/>
          <w:szCs w:val="28"/>
          <w:lang w:eastAsia="en-IN"/>
        </w:rPr>
        <w:lastRenderedPageBreak/>
        <w:t>Question 3)</w:t>
      </w:r>
    </w:p>
    <w:p w14:paraId="766D05DB" w14:textId="658FC049" w:rsidR="00A16C0B" w:rsidRPr="00E617B4" w:rsidRDefault="0041554F" w:rsidP="00E12EC1">
      <w:pPr>
        <w:rPr>
          <w:rFonts w:ascii="Times New Roman" w:hAnsi="Times New Roman" w:cs="Times New Roman"/>
          <w:sz w:val="24"/>
          <w:szCs w:val="24"/>
        </w:rPr>
      </w:pPr>
      <w:r w:rsidRPr="00E617B4">
        <w:rPr>
          <w:rFonts w:ascii="Times New Roman" w:hAnsi="Times New Roman" w:cs="Times New Roman"/>
          <w:sz w:val="24"/>
          <w:szCs w:val="24"/>
        </w:rPr>
        <w:t xml:space="preserve">What are the possible techniques of quantitatively modelling various types of operational risks? (Cover </w:t>
      </w:r>
      <w:r w:rsidR="00E617B4" w:rsidRPr="00E617B4">
        <w:rPr>
          <w:rFonts w:ascii="Times New Roman" w:hAnsi="Times New Roman" w:cs="Times New Roman"/>
          <w:sz w:val="24"/>
          <w:szCs w:val="24"/>
        </w:rPr>
        <w:t>at least</w:t>
      </w:r>
      <w:r w:rsidRPr="00E617B4">
        <w:rPr>
          <w:rFonts w:ascii="Times New Roman" w:hAnsi="Times New Roman" w:cs="Times New Roman"/>
          <w:sz w:val="24"/>
          <w:szCs w:val="24"/>
        </w:rPr>
        <w:t xml:space="preserve"> 6)</w:t>
      </w:r>
    </w:p>
    <w:p w14:paraId="45509BC4" w14:textId="77777777" w:rsidR="00E617B4" w:rsidRPr="00E617B4" w:rsidRDefault="00E617B4" w:rsidP="00E12EC1">
      <w:pPr>
        <w:rPr>
          <w:rFonts w:ascii="Times New Roman" w:hAnsi="Times New Roman" w:cs="Times New Roman"/>
          <w:sz w:val="24"/>
          <w:szCs w:val="24"/>
        </w:rPr>
      </w:pPr>
      <w:r w:rsidRPr="00E617B4">
        <w:rPr>
          <w:rFonts w:ascii="Times New Roman" w:hAnsi="Times New Roman" w:cs="Times New Roman"/>
          <w:b/>
          <w:bCs/>
          <w:sz w:val="24"/>
          <w:szCs w:val="24"/>
        </w:rPr>
        <w:t xml:space="preserve">Answer) </w:t>
      </w:r>
      <w:r w:rsidR="00E12EC1" w:rsidRPr="00E617B4">
        <w:rPr>
          <w:rFonts w:ascii="Times New Roman" w:hAnsi="Times New Roman" w:cs="Times New Roman"/>
          <w:sz w:val="24"/>
          <w:szCs w:val="24"/>
        </w:rPr>
        <w:t>Various methods are used in practice to determine operational risk capital</w:t>
      </w:r>
      <w:r w:rsidRPr="00E617B4">
        <w:rPr>
          <w:rFonts w:ascii="Times New Roman" w:hAnsi="Times New Roman" w:cs="Times New Roman"/>
          <w:sz w:val="24"/>
          <w:szCs w:val="24"/>
        </w:rPr>
        <w:t xml:space="preserve"> by </w:t>
      </w:r>
      <w:r w:rsidRPr="00E617B4">
        <w:rPr>
          <w:rFonts w:ascii="Times New Roman" w:hAnsi="Times New Roman" w:cs="Times New Roman"/>
          <w:sz w:val="24"/>
          <w:szCs w:val="24"/>
        </w:rPr>
        <w:t>quantitatively modelling</w:t>
      </w:r>
      <w:r w:rsidR="00E12EC1" w:rsidRPr="00E617B4">
        <w:rPr>
          <w:rFonts w:ascii="Times New Roman" w:hAnsi="Times New Roman" w:cs="Times New Roman"/>
          <w:sz w:val="24"/>
          <w:szCs w:val="24"/>
        </w:rPr>
        <w:t xml:space="preserve">. </w:t>
      </w:r>
    </w:p>
    <w:p w14:paraId="47C646C7" w14:textId="7A19A80B" w:rsidR="00E12EC1" w:rsidRPr="00E617B4" w:rsidRDefault="00E617B4" w:rsidP="00E617B4">
      <w:pPr>
        <w:pStyle w:val="NoSpacing"/>
        <w:numPr>
          <w:ilvl w:val="0"/>
          <w:numId w:val="1"/>
        </w:numPr>
        <w:rPr>
          <w:rFonts w:ascii="Times New Roman" w:hAnsi="Times New Roman" w:cs="Times New Roman"/>
          <w:b/>
          <w:bCs/>
          <w:sz w:val="24"/>
          <w:szCs w:val="24"/>
        </w:rPr>
      </w:pPr>
      <w:r w:rsidRPr="00E617B4">
        <w:rPr>
          <w:rFonts w:ascii="Times New Roman" w:hAnsi="Times New Roman" w:cs="Times New Roman"/>
          <w:sz w:val="24"/>
          <w:szCs w:val="24"/>
        </w:rPr>
        <w:t>Firstly T</w:t>
      </w:r>
      <w:r w:rsidR="00E12EC1" w:rsidRPr="00E617B4">
        <w:rPr>
          <w:rFonts w:ascii="Times New Roman" w:hAnsi="Times New Roman" w:cs="Times New Roman"/>
          <w:sz w:val="24"/>
          <w:szCs w:val="24"/>
        </w:rPr>
        <w:t>op-down approaches for calculating operational risk capital. If the</w:t>
      </w:r>
    </w:p>
    <w:p w14:paraId="1C9610FE"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total capital for the business is known, then the capital for other risks can be subtracted</w:t>
      </w:r>
    </w:p>
    <w:p w14:paraId="4416ABCD"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to give the operational risk capital. It is however not clear how the total capital should</w:t>
      </w:r>
    </w:p>
    <w:p w14:paraId="6F7DA2B8"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be determined. Various bottom-up approaches are available for calculating operational</w:t>
      </w:r>
    </w:p>
    <w:p w14:paraId="0DDCC9D1" w14:textId="77777777" w:rsidR="00E617B4"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risk capital from the driving factors as discussed in the following paragraphs.</w:t>
      </w:r>
    </w:p>
    <w:p w14:paraId="5D88583A" w14:textId="77777777" w:rsidR="00E617B4" w:rsidRPr="00E617B4" w:rsidRDefault="00E617B4" w:rsidP="00E617B4">
      <w:pPr>
        <w:pStyle w:val="NoSpacing"/>
        <w:rPr>
          <w:rFonts w:ascii="Times New Roman" w:hAnsi="Times New Roman" w:cs="Times New Roman"/>
          <w:sz w:val="24"/>
          <w:szCs w:val="24"/>
        </w:rPr>
      </w:pPr>
    </w:p>
    <w:p w14:paraId="260D406B" w14:textId="6A3710B1" w:rsidR="00E12EC1" w:rsidRPr="00E617B4" w:rsidRDefault="00E12EC1" w:rsidP="00E617B4">
      <w:pPr>
        <w:pStyle w:val="NoSpacing"/>
        <w:numPr>
          <w:ilvl w:val="0"/>
          <w:numId w:val="1"/>
        </w:numPr>
        <w:rPr>
          <w:rFonts w:ascii="Times New Roman" w:hAnsi="Times New Roman" w:cs="Times New Roman"/>
          <w:sz w:val="24"/>
          <w:szCs w:val="24"/>
        </w:rPr>
      </w:pPr>
      <w:r w:rsidRPr="00E617B4">
        <w:rPr>
          <w:rFonts w:ascii="Times New Roman" w:hAnsi="Times New Roman" w:cs="Times New Roman"/>
          <w:sz w:val="24"/>
          <w:szCs w:val="24"/>
        </w:rPr>
        <w:t>Under standard formulae approaches a simple formula is specified which</w:t>
      </w:r>
    </w:p>
    <w:p w14:paraId="656D1F09"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typically specifies operational risk capital as a percentage of an indicator representing</w:t>
      </w:r>
    </w:p>
    <w:p w14:paraId="264C9821"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a volume measure of the business such as premiums or gross income. The Basic</w:t>
      </w:r>
    </w:p>
    <w:p w14:paraId="6374E721"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Indicator Approach under Basel II and the operational risk component of the SCR</w:t>
      </w:r>
    </w:p>
    <w:p w14:paraId="16D3BF39"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using the standard formula under Solvency II and SAM are examples of standard</w:t>
      </w:r>
    </w:p>
    <w:p w14:paraId="545BA634"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formulae approaches. More complex approaches such as the Standardised Approach</w:t>
      </w:r>
    </w:p>
    <w:p w14:paraId="5B03F114"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under Basel II allows different indicators and percentages to be used for different</w:t>
      </w:r>
    </w:p>
    <w:p w14:paraId="41448473" w14:textId="79AD7C8D"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business lines.</w:t>
      </w:r>
    </w:p>
    <w:p w14:paraId="0F902B41" w14:textId="77777777" w:rsidR="00E12EC1" w:rsidRPr="00E617B4" w:rsidRDefault="00E12EC1" w:rsidP="00E617B4">
      <w:pPr>
        <w:pStyle w:val="NoSpacing"/>
        <w:rPr>
          <w:rFonts w:ascii="Times New Roman" w:hAnsi="Times New Roman" w:cs="Times New Roman"/>
          <w:sz w:val="24"/>
          <w:szCs w:val="24"/>
        </w:rPr>
      </w:pPr>
    </w:p>
    <w:p w14:paraId="7C9A171A" w14:textId="39D07A64" w:rsidR="00E12EC1" w:rsidRPr="00E617B4" w:rsidRDefault="00E12EC1" w:rsidP="00E617B4">
      <w:pPr>
        <w:pStyle w:val="NoSpacing"/>
        <w:numPr>
          <w:ilvl w:val="0"/>
          <w:numId w:val="1"/>
        </w:numPr>
        <w:rPr>
          <w:rFonts w:ascii="Times New Roman" w:hAnsi="Times New Roman" w:cs="Times New Roman"/>
          <w:sz w:val="24"/>
          <w:szCs w:val="24"/>
        </w:rPr>
      </w:pPr>
      <w:r w:rsidRPr="00E617B4">
        <w:rPr>
          <w:rFonts w:ascii="Times New Roman" w:hAnsi="Times New Roman" w:cs="Times New Roman"/>
          <w:sz w:val="24"/>
          <w:szCs w:val="24"/>
        </w:rPr>
        <w:t>The internal measurement approach is the first of the AMAs given by Basel II</w:t>
      </w:r>
    </w:p>
    <w:p w14:paraId="3E752CCB"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and is an intermediate step towards the more advanced approaches. While the method</w:t>
      </w:r>
    </w:p>
    <w:p w14:paraId="30443466"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for calculating operational risk capital is specified insurers can use internal loss data</w:t>
      </w:r>
    </w:p>
    <w:p w14:paraId="439AFFED"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to calibrate the parameters used. This approach was introduced to give banks the</w:t>
      </w:r>
    </w:p>
    <w:p w14:paraId="2C58FCE4" w14:textId="3FAB73E3"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incentive to collect loss data.</w:t>
      </w:r>
    </w:p>
    <w:p w14:paraId="6BE0CB9E" w14:textId="58CEB529" w:rsidR="00E12EC1" w:rsidRPr="00E617B4" w:rsidRDefault="00E12EC1" w:rsidP="00E617B4">
      <w:pPr>
        <w:pStyle w:val="NoSpacing"/>
        <w:rPr>
          <w:rFonts w:ascii="Times New Roman" w:hAnsi="Times New Roman" w:cs="Times New Roman"/>
          <w:sz w:val="24"/>
          <w:szCs w:val="24"/>
        </w:rPr>
      </w:pPr>
    </w:p>
    <w:p w14:paraId="48237C3C" w14:textId="77777777" w:rsidR="00E12EC1" w:rsidRPr="00E617B4" w:rsidRDefault="00E12EC1" w:rsidP="00E617B4">
      <w:pPr>
        <w:pStyle w:val="NoSpacing"/>
        <w:numPr>
          <w:ilvl w:val="0"/>
          <w:numId w:val="1"/>
        </w:numPr>
        <w:rPr>
          <w:rFonts w:ascii="Times New Roman" w:hAnsi="Times New Roman" w:cs="Times New Roman"/>
          <w:sz w:val="24"/>
          <w:szCs w:val="24"/>
        </w:rPr>
      </w:pPr>
      <w:r w:rsidRPr="00E617B4">
        <w:rPr>
          <w:rFonts w:ascii="Times New Roman" w:hAnsi="Times New Roman" w:cs="Times New Roman"/>
          <w:sz w:val="24"/>
          <w:szCs w:val="24"/>
        </w:rPr>
        <w:t>LDA is a statistical approach under which a distribution is fitted to each</w:t>
      </w:r>
    </w:p>
    <w:p w14:paraId="1461E48A"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operational risk category. The capital charge is taken as a percentile from these</w:t>
      </w:r>
    </w:p>
    <w:p w14:paraId="0A893457"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distributions and different methods are used to aggregate the capital from different</w:t>
      </w:r>
    </w:p>
    <w:p w14:paraId="61862A97" w14:textId="31F8B1C9"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operational risk categories.</w:t>
      </w:r>
    </w:p>
    <w:p w14:paraId="31600040" w14:textId="77777777" w:rsidR="00E12EC1" w:rsidRPr="00E617B4" w:rsidRDefault="00E12EC1" w:rsidP="00E617B4">
      <w:pPr>
        <w:pStyle w:val="NoSpacing"/>
        <w:rPr>
          <w:rFonts w:ascii="Times New Roman" w:hAnsi="Times New Roman" w:cs="Times New Roman"/>
          <w:sz w:val="24"/>
          <w:szCs w:val="24"/>
        </w:rPr>
      </w:pPr>
    </w:p>
    <w:p w14:paraId="20DAC838" w14:textId="0BADC080" w:rsidR="00E12EC1" w:rsidRPr="00E617B4" w:rsidRDefault="00E12EC1" w:rsidP="00E617B4">
      <w:pPr>
        <w:pStyle w:val="NoSpacing"/>
        <w:numPr>
          <w:ilvl w:val="0"/>
          <w:numId w:val="1"/>
        </w:numPr>
        <w:rPr>
          <w:rFonts w:ascii="Times New Roman" w:hAnsi="Times New Roman" w:cs="Times New Roman"/>
          <w:sz w:val="24"/>
          <w:szCs w:val="24"/>
        </w:rPr>
      </w:pPr>
      <w:r w:rsidRPr="00E617B4">
        <w:rPr>
          <w:rFonts w:ascii="Times New Roman" w:hAnsi="Times New Roman" w:cs="Times New Roman"/>
          <w:sz w:val="24"/>
          <w:szCs w:val="24"/>
        </w:rPr>
        <w:t>Under the scorecard approach the capital is calculated by applying a risk score</w:t>
      </w:r>
    </w:p>
    <w:p w14:paraId="043FD434" w14:textId="3021980D"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 xml:space="preserve">to different exposure indicators. The challenge lies in building an appropriate </w:t>
      </w:r>
      <w:r w:rsidR="002E5FE9" w:rsidRPr="00E617B4">
        <w:rPr>
          <w:rFonts w:ascii="Times New Roman" w:hAnsi="Times New Roman" w:cs="Times New Roman"/>
          <w:sz w:val="24"/>
          <w:szCs w:val="24"/>
        </w:rPr>
        <w:t>forward-looking</w:t>
      </w:r>
      <w:r w:rsidRPr="00E617B4">
        <w:rPr>
          <w:rFonts w:ascii="Times New Roman" w:hAnsi="Times New Roman" w:cs="Times New Roman"/>
          <w:sz w:val="24"/>
          <w:szCs w:val="24"/>
        </w:rPr>
        <w:t xml:space="preserve"> scorecard. The initial level of capital will often be based on historical loss data</w:t>
      </w:r>
    </w:p>
    <w:p w14:paraId="1FBC89C9" w14:textId="77777777"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using methods similar to the LDA, but the added advantage of this method is that it is</w:t>
      </w:r>
    </w:p>
    <w:p w14:paraId="641E75D3" w14:textId="3F39844C"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more forward-looking.</w:t>
      </w:r>
    </w:p>
    <w:p w14:paraId="1C952EFA" w14:textId="77777777" w:rsidR="00E12EC1" w:rsidRPr="00E617B4" w:rsidRDefault="00E12EC1" w:rsidP="00E617B4">
      <w:pPr>
        <w:pStyle w:val="NoSpacing"/>
        <w:rPr>
          <w:rFonts w:ascii="Times New Roman" w:hAnsi="Times New Roman" w:cs="Times New Roman"/>
          <w:sz w:val="24"/>
          <w:szCs w:val="24"/>
        </w:rPr>
      </w:pPr>
    </w:p>
    <w:p w14:paraId="794A49A8" w14:textId="77777777" w:rsidR="00E617B4" w:rsidRPr="00E617B4" w:rsidRDefault="00E12EC1" w:rsidP="00E617B4">
      <w:pPr>
        <w:pStyle w:val="NoSpacing"/>
        <w:numPr>
          <w:ilvl w:val="0"/>
          <w:numId w:val="1"/>
        </w:numPr>
        <w:rPr>
          <w:rFonts w:ascii="Times New Roman" w:hAnsi="Times New Roman" w:cs="Times New Roman"/>
          <w:sz w:val="24"/>
          <w:szCs w:val="24"/>
        </w:rPr>
      </w:pPr>
      <w:r w:rsidRPr="00E617B4">
        <w:rPr>
          <w:rFonts w:ascii="Times New Roman" w:hAnsi="Times New Roman" w:cs="Times New Roman"/>
          <w:sz w:val="24"/>
          <w:szCs w:val="24"/>
        </w:rPr>
        <w:t>More advanced methods exist. One such example is the method of Bayesian causal</w:t>
      </w:r>
      <w:r w:rsidR="00E617B4" w:rsidRPr="00E617B4">
        <w:rPr>
          <w:rFonts w:ascii="Times New Roman" w:hAnsi="Times New Roman" w:cs="Times New Roman"/>
          <w:sz w:val="24"/>
          <w:szCs w:val="24"/>
        </w:rPr>
        <w:t xml:space="preserve"> </w:t>
      </w:r>
    </w:p>
    <w:p w14:paraId="2B0472B8" w14:textId="4B6179C6" w:rsidR="00E12EC1" w:rsidRPr="00E617B4" w:rsidRDefault="00E12EC1" w:rsidP="00E617B4">
      <w:pPr>
        <w:pStyle w:val="NoSpacing"/>
        <w:rPr>
          <w:rFonts w:ascii="Times New Roman" w:hAnsi="Times New Roman" w:cs="Times New Roman"/>
          <w:sz w:val="24"/>
          <w:szCs w:val="24"/>
        </w:rPr>
      </w:pPr>
      <w:r w:rsidRPr="00E617B4">
        <w:rPr>
          <w:rFonts w:ascii="Times New Roman" w:hAnsi="Times New Roman" w:cs="Times New Roman"/>
          <w:sz w:val="24"/>
          <w:szCs w:val="24"/>
        </w:rPr>
        <w:t>networks. This method requires a causal map to</w:t>
      </w:r>
      <w:r w:rsidR="00E617B4" w:rsidRPr="00E617B4">
        <w:rPr>
          <w:rFonts w:ascii="Times New Roman" w:hAnsi="Times New Roman" w:cs="Times New Roman"/>
          <w:sz w:val="24"/>
          <w:szCs w:val="24"/>
        </w:rPr>
        <w:t xml:space="preserve"> </w:t>
      </w:r>
      <w:r w:rsidRPr="00E617B4">
        <w:rPr>
          <w:rFonts w:ascii="Times New Roman" w:hAnsi="Times New Roman" w:cs="Times New Roman"/>
          <w:sz w:val="24"/>
          <w:szCs w:val="24"/>
        </w:rPr>
        <w:t>be set up for operational risk events. Probabilities are assigned to different causes and</w:t>
      </w:r>
      <w:r w:rsidR="00E617B4" w:rsidRPr="00E617B4">
        <w:rPr>
          <w:rFonts w:ascii="Times New Roman" w:hAnsi="Times New Roman" w:cs="Times New Roman"/>
          <w:sz w:val="24"/>
          <w:szCs w:val="24"/>
        </w:rPr>
        <w:t xml:space="preserve"> </w:t>
      </w:r>
      <w:r w:rsidRPr="00E617B4">
        <w:rPr>
          <w:rFonts w:ascii="Times New Roman" w:hAnsi="Times New Roman" w:cs="Times New Roman"/>
          <w:sz w:val="24"/>
          <w:szCs w:val="24"/>
        </w:rPr>
        <w:t>Bayesian techniques used to determine an overall probability. The probabilities need</w:t>
      </w:r>
      <w:r w:rsidR="00E617B4" w:rsidRPr="00E617B4">
        <w:rPr>
          <w:rFonts w:ascii="Times New Roman" w:hAnsi="Times New Roman" w:cs="Times New Roman"/>
          <w:sz w:val="24"/>
          <w:szCs w:val="24"/>
        </w:rPr>
        <w:t xml:space="preserve"> </w:t>
      </w:r>
      <w:r w:rsidRPr="00E617B4">
        <w:rPr>
          <w:rFonts w:ascii="Times New Roman" w:hAnsi="Times New Roman" w:cs="Times New Roman"/>
          <w:sz w:val="24"/>
          <w:szCs w:val="24"/>
        </w:rPr>
        <w:t>to be combined with a risk indicator to produce a capital charge.</w:t>
      </w:r>
    </w:p>
    <w:p w14:paraId="5933A0C6" w14:textId="77777777" w:rsidR="00E12EC1" w:rsidRPr="00E617B4" w:rsidRDefault="00E12EC1" w:rsidP="00E12EC1">
      <w:pPr>
        <w:rPr>
          <w:rFonts w:ascii="Times New Roman" w:hAnsi="Times New Roman" w:cs="Times New Roman"/>
          <w:sz w:val="24"/>
          <w:szCs w:val="24"/>
        </w:rPr>
      </w:pPr>
    </w:p>
    <w:p w14:paraId="6AE3C939" w14:textId="2CABB428" w:rsidR="00E12EC1" w:rsidRPr="00E617B4" w:rsidRDefault="00E12EC1" w:rsidP="00E12EC1">
      <w:pPr>
        <w:rPr>
          <w:rFonts w:ascii="Times New Roman" w:hAnsi="Times New Roman" w:cs="Times New Roman"/>
          <w:sz w:val="24"/>
          <w:szCs w:val="24"/>
        </w:rPr>
      </w:pPr>
    </w:p>
    <w:sectPr w:rsidR="00E12EC1" w:rsidRPr="00E617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72BE"/>
    <w:multiLevelType w:val="hybridMultilevel"/>
    <w:tmpl w:val="B574BA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311"/>
    <w:rsid w:val="000E6154"/>
    <w:rsid w:val="001B15D5"/>
    <w:rsid w:val="002A0A28"/>
    <w:rsid w:val="002E5FE9"/>
    <w:rsid w:val="0041554F"/>
    <w:rsid w:val="00485A7E"/>
    <w:rsid w:val="006D7F6F"/>
    <w:rsid w:val="007D486B"/>
    <w:rsid w:val="00A16C0B"/>
    <w:rsid w:val="00B001B3"/>
    <w:rsid w:val="00BE6311"/>
    <w:rsid w:val="00BF202D"/>
    <w:rsid w:val="00E12EC1"/>
    <w:rsid w:val="00E617B4"/>
    <w:rsid w:val="00F33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0726"/>
  <w15:chartTrackingRefBased/>
  <w15:docId w15:val="{E49A99B5-6473-4BD8-B590-E5BF7A3A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D486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631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BE6311"/>
    <w:rPr>
      <w:color w:val="0000FF"/>
      <w:u w:val="single"/>
    </w:rPr>
  </w:style>
  <w:style w:type="character" w:customStyle="1" w:styleId="ls6">
    <w:name w:val="ls6"/>
    <w:basedOn w:val="DefaultParagraphFont"/>
    <w:rsid w:val="00A16C0B"/>
  </w:style>
  <w:style w:type="character" w:customStyle="1" w:styleId="ls8">
    <w:name w:val="ls8"/>
    <w:basedOn w:val="DefaultParagraphFont"/>
    <w:rsid w:val="00A16C0B"/>
  </w:style>
  <w:style w:type="character" w:customStyle="1" w:styleId="ls15">
    <w:name w:val="ls15"/>
    <w:basedOn w:val="DefaultParagraphFont"/>
    <w:rsid w:val="00A16C0B"/>
  </w:style>
  <w:style w:type="character" w:customStyle="1" w:styleId="ls3">
    <w:name w:val="ls3"/>
    <w:basedOn w:val="DefaultParagraphFont"/>
    <w:rsid w:val="00A16C0B"/>
  </w:style>
  <w:style w:type="character" w:customStyle="1" w:styleId="lsa">
    <w:name w:val="lsa"/>
    <w:basedOn w:val="DefaultParagraphFont"/>
    <w:rsid w:val="00A16C0B"/>
  </w:style>
  <w:style w:type="character" w:customStyle="1" w:styleId="ls10">
    <w:name w:val="ls10"/>
    <w:basedOn w:val="DefaultParagraphFont"/>
    <w:rsid w:val="00A16C0B"/>
  </w:style>
  <w:style w:type="character" w:customStyle="1" w:styleId="ls4">
    <w:name w:val="ls4"/>
    <w:basedOn w:val="DefaultParagraphFont"/>
    <w:rsid w:val="00A16C0B"/>
  </w:style>
  <w:style w:type="character" w:customStyle="1" w:styleId="ls9">
    <w:name w:val="ls9"/>
    <w:basedOn w:val="DefaultParagraphFont"/>
    <w:rsid w:val="00A16C0B"/>
  </w:style>
  <w:style w:type="character" w:customStyle="1" w:styleId="ff3">
    <w:name w:val="ff3"/>
    <w:basedOn w:val="DefaultParagraphFont"/>
    <w:rsid w:val="00A16C0B"/>
  </w:style>
  <w:style w:type="character" w:customStyle="1" w:styleId="ls7">
    <w:name w:val="ls7"/>
    <w:basedOn w:val="DefaultParagraphFont"/>
    <w:rsid w:val="00A16C0B"/>
  </w:style>
  <w:style w:type="character" w:customStyle="1" w:styleId="ls12">
    <w:name w:val="ls12"/>
    <w:basedOn w:val="DefaultParagraphFont"/>
    <w:rsid w:val="00A16C0B"/>
  </w:style>
  <w:style w:type="character" w:customStyle="1" w:styleId="ls5">
    <w:name w:val="ls5"/>
    <w:basedOn w:val="DefaultParagraphFont"/>
    <w:rsid w:val="00A16C0B"/>
  </w:style>
  <w:style w:type="paragraph" w:styleId="NoSpacing">
    <w:name w:val="No Spacing"/>
    <w:uiPriority w:val="1"/>
    <w:qFormat/>
    <w:rsid w:val="00A16C0B"/>
    <w:pPr>
      <w:spacing w:after="0" w:line="240" w:lineRule="auto"/>
    </w:pPr>
  </w:style>
  <w:style w:type="character" w:customStyle="1" w:styleId="Heading4Char">
    <w:name w:val="Heading 4 Char"/>
    <w:basedOn w:val="DefaultParagraphFont"/>
    <w:link w:val="Heading4"/>
    <w:uiPriority w:val="9"/>
    <w:rsid w:val="007D486B"/>
    <w:rPr>
      <w:rFonts w:ascii="Times New Roman" w:eastAsia="Times New Roman" w:hAnsi="Times New Roman" w:cs="Times New Roman"/>
      <w:b/>
      <w:bCs/>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155495">
      <w:bodyDiv w:val="1"/>
      <w:marLeft w:val="0"/>
      <w:marRight w:val="0"/>
      <w:marTop w:val="0"/>
      <w:marBottom w:val="0"/>
      <w:divBdr>
        <w:top w:val="none" w:sz="0" w:space="0" w:color="auto"/>
        <w:left w:val="none" w:sz="0" w:space="0" w:color="auto"/>
        <w:bottom w:val="none" w:sz="0" w:space="0" w:color="auto"/>
        <w:right w:val="none" w:sz="0" w:space="0" w:color="auto"/>
      </w:divBdr>
    </w:div>
    <w:div w:id="1804157392">
      <w:bodyDiv w:val="1"/>
      <w:marLeft w:val="0"/>
      <w:marRight w:val="0"/>
      <w:marTop w:val="0"/>
      <w:marBottom w:val="0"/>
      <w:divBdr>
        <w:top w:val="none" w:sz="0" w:space="0" w:color="auto"/>
        <w:left w:val="none" w:sz="0" w:space="0" w:color="auto"/>
        <w:bottom w:val="none" w:sz="0" w:space="0" w:color="auto"/>
        <w:right w:val="none" w:sz="0" w:space="0" w:color="auto"/>
      </w:divBdr>
    </w:div>
    <w:div w:id="2085298356">
      <w:bodyDiv w:val="1"/>
      <w:marLeft w:val="0"/>
      <w:marRight w:val="0"/>
      <w:marTop w:val="0"/>
      <w:marBottom w:val="0"/>
      <w:divBdr>
        <w:top w:val="none" w:sz="0" w:space="0" w:color="auto"/>
        <w:left w:val="none" w:sz="0" w:space="0" w:color="auto"/>
        <w:bottom w:val="none" w:sz="0" w:space="0" w:color="auto"/>
        <w:right w:val="none" w:sz="0" w:space="0" w:color="auto"/>
      </w:divBdr>
      <w:divsChild>
        <w:div w:id="1880895796">
          <w:marLeft w:val="0"/>
          <w:marRight w:val="0"/>
          <w:marTop w:val="0"/>
          <w:marBottom w:val="0"/>
          <w:divBdr>
            <w:top w:val="none" w:sz="0" w:space="0" w:color="auto"/>
            <w:left w:val="none" w:sz="0" w:space="0" w:color="auto"/>
            <w:bottom w:val="none" w:sz="0" w:space="0" w:color="auto"/>
            <w:right w:val="none" w:sz="0" w:space="0" w:color="auto"/>
          </w:divBdr>
          <w:divsChild>
            <w:div w:id="1138691029">
              <w:marLeft w:val="0"/>
              <w:marRight w:val="0"/>
              <w:marTop w:val="0"/>
              <w:marBottom w:val="0"/>
              <w:divBdr>
                <w:top w:val="none" w:sz="0" w:space="0" w:color="auto"/>
                <w:left w:val="none" w:sz="0" w:space="0" w:color="auto"/>
                <w:bottom w:val="none" w:sz="0" w:space="0" w:color="auto"/>
                <w:right w:val="none" w:sz="0" w:space="0" w:color="auto"/>
              </w:divBdr>
              <w:divsChild>
                <w:div w:id="276834432">
                  <w:marLeft w:val="0"/>
                  <w:marRight w:val="0"/>
                  <w:marTop w:val="0"/>
                  <w:marBottom w:val="0"/>
                  <w:divBdr>
                    <w:top w:val="none" w:sz="0" w:space="0" w:color="auto"/>
                    <w:left w:val="none" w:sz="0" w:space="0" w:color="auto"/>
                    <w:bottom w:val="none" w:sz="0" w:space="0" w:color="auto"/>
                    <w:right w:val="none" w:sz="0" w:space="0" w:color="auto"/>
                  </w:divBdr>
                  <w:divsChild>
                    <w:div w:id="880630783">
                      <w:marLeft w:val="0"/>
                      <w:marRight w:val="0"/>
                      <w:marTop w:val="0"/>
                      <w:marBottom w:val="0"/>
                      <w:divBdr>
                        <w:top w:val="none" w:sz="0" w:space="0" w:color="auto"/>
                        <w:left w:val="none" w:sz="0" w:space="0" w:color="auto"/>
                        <w:bottom w:val="none" w:sz="0" w:space="0" w:color="auto"/>
                        <w:right w:val="none" w:sz="0" w:space="0" w:color="auto"/>
                      </w:divBdr>
                    </w:div>
                    <w:div w:id="1454204972">
                      <w:marLeft w:val="0"/>
                      <w:marRight w:val="0"/>
                      <w:marTop w:val="0"/>
                      <w:marBottom w:val="0"/>
                      <w:divBdr>
                        <w:top w:val="none" w:sz="0" w:space="0" w:color="auto"/>
                        <w:left w:val="none" w:sz="0" w:space="0" w:color="auto"/>
                        <w:bottom w:val="none" w:sz="0" w:space="0" w:color="auto"/>
                        <w:right w:val="none" w:sz="0" w:space="0" w:color="auto"/>
                      </w:divBdr>
                    </w:div>
                    <w:div w:id="2013869846">
                      <w:marLeft w:val="0"/>
                      <w:marRight w:val="0"/>
                      <w:marTop w:val="0"/>
                      <w:marBottom w:val="0"/>
                      <w:divBdr>
                        <w:top w:val="none" w:sz="0" w:space="0" w:color="auto"/>
                        <w:left w:val="none" w:sz="0" w:space="0" w:color="auto"/>
                        <w:bottom w:val="none" w:sz="0" w:space="0" w:color="auto"/>
                        <w:right w:val="none" w:sz="0" w:space="0" w:color="auto"/>
                      </w:divBdr>
                    </w:div>
                    <w:div w:id="1727335912">
                      <w:marLeft w:val="0"/>
                      <w:marRight w:val="0"/>
                      <w:marTop w:val="0"/>
                      <w:marBottom w:val="0"/>
                      <w:divBdr>
                        <w:top w:val="none" w:sz="0" w:space="0" w:color="auto"/>
                        <w:left w:val="none" w:sz="0" w:space="0" w:color="auto"/>
                        <w:bottom w:val="none" w:sz="0" w:space="0" w:color="auto"/>
                        <w:right w:val="none" w:sz="0" w:space="0" w:color="auto"/>
                      </w:divBdr>
                    </w:div>
                    <w:div w:id="245962067">
                      <w:marLeft w:val="0"/>
                      <w:marRight w:val="0"/>
                      <w:marTop w:val="0"/>
                      <w:marBottom w:val="0"/>
                      <w:divBdr>
                        <w:top w:val="none" w:sz="0" w:space="0" w:color="auto"/>
                        <w:left w:val="none" w:sz="0" w:space="0" w:color="auto"/>
                        <w:bottom w:val="none" w:sz="0" w:space="0" w:color="auto"/>
                        <w:right w:val="none" w:sz="0" w:space="0" w:color="auto"/>
                      </w:divBdr>
                    </w:div>
                    <w:div w:id="527840418">
                      <w:marLeft w:val="0"/>
                      <w:marRight w:val="0"/>
                      <w:marTop w:val="0"/>
                      <w:marBottom w:val="0"/>
                      <w:divBdr>
                        <w:top w:val="none" w:sz="0" w:space="0" w:color="auto"/>
                        <w:left w:val="none" w:sz="0" w:space="0" w:color="auto"/>
                        <w:bottom w:val="none" w:sz="0" w:space="0" w:color="auto"/>
                        <w:right w:val="none" w:sz="0" w:space="0" w:color="auto"/>
                      </w:divBdr>
                    </w:div>
                    <w:div w:id="1187404673">
                      <w:marLeft w:val="0"/>
                      <w:marRight w:val="0"/>
                      <w:marTop w:val="0"/>
                      <w:marBottom w:val="0"/>
                      <w:divBdr>
                        <w:top w:val="none" w:sz="0" w:space="0" w:color="auto"/>
                        <w:left w:val="none" w:sz="0" w:space="0" w:color="auto"/>
                        <w:bottom w:val="none" w:sz="0" w:space="0" w:color="auto"/>
                        <w:right w:val="none" w:sz="0" w:space="0" w:color="auto"/>
                      </w:divBdr>
                    </w:div>
                    <w:div w:id="1957178537">
                      <w:marLeft w:val="0"/>
                      <w:marRight w:val="0"/>
                      <w:marTop w:val="0"/>
                      <w:marBottom w:val="0"/>
                      <w:divBdr>
                        <w:top w:val="none" w:sz="0" w:space="0" w:color="auto"/>
                        <w:left w:val="none" w:sz="0" w:space="0" w:color="auto"/>
                        <w:bottom w:val="none" w:sz="0" w:space="0" w:color="auto"/>
                        <w:right w:val="none" w:sz="0" w:space="0" w:color="auto"/>
                      </w:divBdr>
                    </w:div>
                    <w:div w:id="15741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4679">
          <w:marLeft w:val="0"/>
          <w:marRight w:val="0"/>
          <w:marTop w:val="0"/>
          <w:marBottom w:val="0"/>
          <w:divBdr>
            <w:top w:val="none" w:sz="0" w:space="0" w:color="auto"/>
            <w:left w:val="none" w:sz="0" w:space="0" w:color="auto"/>
            <w:bottom w:val="none" w:sz="0" w:space="0" w:color="auto"/>
            <w:right w:val="none" w:sz="0" w:space="0" w:color="auto"/>
          </w:divBdr>
          <w:divsChild>
            <w:div w:id="1708991009">
              <w:marLeft w:val="0"/>
              <w:marRight w:val="0"/>
              <w:marTop w:val="0"/>
              <w:marBottom w:val="0"/>
              <w:divBdr>
                <w:top w:val="none" w:sz="0" w:space="0" w:color="auto"/>
                <w:left w:val="none" w:sz="0" w:space="0" w:color="auto"/>
                <w:bottom w:val="none" w:sz="0" w:space="0" w:color="auto"/>
                <w:right w:val="none" w:sz="0" w:space="0" w:color="auto"/>
              </w:divBdr>
              <w:divsChild>
                <w:div w:id="1124813188">
                  <w:marLeft w:val="0"/>
                  <w:marRight w:val="0"/>
                  <w:marTop w:val="0"/>
                  <w:marBottom w:val="0"/>
                  <w:divBdr>
                    <w:top w:val="none" w:sz="0" w:space="0" w:color="auto"/>
                    <w:left w:val="none" w:sz="0" w:space="0" w:color="auto"/>
                    <w:bottom w:val="none" w:sz="0" w:space="0" w:color="auto"/>
                    <w:right w:val="none" w:sz="0" w:space="0" w:color="auto"/>
                  </w:divBdr>
                  <w:divsChild>
                    <w:div w:id="858929512">
                      <w:marLeft w:val="0"/>
                      <w:marRight w:val="0"/>
                      <w:marTop w:val="0"/>
                      <w:marBottom w:val="0"/>
                      <w:divBdr>
                        <w:top w:val="none" w:sz="0" w:space="0" w:color="auto"/>
                        <w:left w:val="none" w:sz="0" w:space="0" w:color="auto"/>
                        <w:bottom w:val="none" w:sz="0" w:space="0" w:color="auto"/>
                        <w:right w:val="none" w:sz="0" w:space="0" w:color="auto"/>
                      </w:divBdr>
                    </w:div>
                    <w:div w:id="1894853997">
                      <w:marLeft w:val="0"/>
                      <w:marRight w:val="0"/>
                      <w:marTop w:val="0"/>
                      <w:marBottom w:val="0"/>
                      <w:divBdr>
                        <w:top w:val="none" w:sz="0" w:space="0" w:color="auto"/>
                        <w:left w:val="none" w:sz="0" w:space="0" w:color="auto"/>
                        <w:bottom w:val="none" w:sz="0" w:space="0" w:color="auto"/>
                        <w:right w:val="none" w:sz="0" w:space="0" w:color="auto"/>
                      </w:divBdr>
                    </w:div>
                    <w:div w:id="936861818">
                      <w:marLeft w:val="0"/>
                      <w:marRight w:val="0"/>
                      <w:marTop w:val="0"/>
                      <w:marBottom w:val="0"/>
                      <w:divBdr>
                        <w:top w:val="none" w:sz="0" w:space="0" w:color="auto"/>
                        <w:left w:val="none" w:sz="0" w:space="0" w:color="auto"/>
                        <w:bottom w:val="none" w:sz="0" w:space="0" w:color="auto"/>
                        <w:right w:val="none" w:sz="0" w:space="0" w:color="auto"/>
                      </w:divBdr>
                    </w:div>
                    <w:div w:id="1195457641">
                      <w:marLeft w:val="0"/>
                      <w:marRight w:val="0"/>
                      <w:marTop w:val="0"/>
                      <w:marBottom w:val="0"/>
                      <w:divBdr>
                        <w:top w:val="none" w:sz="0" w:space="0" w:color="auto"/>
                        <w:left w:val="none" w:sz="0" w:space="0" w:color="auto"/>
                        <w:bottom w:val="none" w:sz="0" w:space="0" w:color="auto"/>
                        <w:right w:val="none" w:sz="0" w:space="0" w:color="auto"/>
                      </w:divBdr>
                    </w:div>
                    <w:div w:id="661354953">
                      <w:marLeft w:val="0"/>
                      <w:marRight w:val="0"/>
                      <w:marTop w:val="0"/>
                      <w:marBottom w:val="0"/>
                      <w:divBdr>
                        <w:top w:val="none" w:sz="0" w:space="0" w:color="auto"/>
                        <w:left w:val="none" w:sz="0" w:space="0" w:color="auto"/>
                        <w:bottom w:val="none" w:sz="0" w:space="0" w:color="auto"/>
                        <w:right w:val="none" w:sz="0" w:space="0" w:color="auto"/>
                      </w:divBdr>
                    </w:div>
                    <w:div w:id="1358196766">
                      <w:marLeft w:val="0"/>
                      <w:marRight w:val="0"/>
                      <w:marTop w:val="0"/>
                      <w:marBottom w:val="0"/>
                      <w:divBdr>
                        <w:top w:val="none" w:sz="0" w:space="0" w:color="auto"/>
                        <w:left w:val="none" w:sz="0" w:space="0" w:color="auto"/>
                        <w:bottom w:val="none" w:sz="0" w:space="0" w:color="auto"/>
                        <w:right w:val="none" w:sz="0" w:space="0" w:color="auto"/>
                      </w:divBdr>
                    </w:div>
                    <w:div w:id="17046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4</Pages>
  <Words>1548</Words>
  <Characters>8826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2</cp:revision>
  <dcterms:created xsi:type="dcterms:W3CDTF">2022-03-23T12:08:00Z</dcterms:created>
  <dcterms:modified xsi:type="dcterms:W3CDTF">2022-03-24T05:57:00Z</dcterms:modified>
</cp:coreProperties>
</file>