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902" w:rsidRPr="00B07902" w:rsidRDefault="00B07902" w:rsidP="00B07902">
      <w:pPr>
        <w:jc w:val="center"/>
        <w:rPr>
          <w:rFonts w:ascii="Arial" w:hAnsi="Arial" w:cs="Arial"/>
          <w:b/>
          <w:sz w:val="40"/>
          <w:szCs w:val="40"/>
          <w:u w:val="single"/>
          <w:lang w:val="en-US"/>
        </w:rPr>
      </w:pPr>
      <w:bookmarkStart w:id="0" w:name="_GoBack"/>
      <w:bookmarkEnd w:id="0"/>
      <w:r w:rsidRPr="00B07902">
        <w:rPr>
          <w:rFonts w:ascii="Arial" w:hAnsi="Arial" w:cs="Arial"/>
          <w:b/>
          <w:sz w:val="40"/>
          <w:szCs w:val="40"/>
          <w:u w:val="single"/>
          <w:lang w:val="en-US"/>
        </w:rPr>
        <w:t>Business Finance-1</w:t>
      </w:r>
    </w:p>
    <w:p w:rsidR="00B07902" w:rsidRPr="00B07902" w:rsidRDefault="00B07902" w:rsidP="00B07902">
      <w:pPr>
        <w:jc w:val="center"/>
        <w:rPr>
          <w:rFonts w:ascii="Arial" w:hAnsi="Arial" w:cs="Arial"/>
          <w:b/>
          <w:sz w:val="40"/>
          <w:szCs w:val="40"/>
          <w:u w:val="single"/>
          <w:lang w:val="en-US"/>
        </w:rPr>
      </w:pPr>
      <w:r w:rsidRPr="00B07902">
        <w:rPr>
          <w:rFonts w:ascii="Arial" w:hAnsi="Arial" w:cs="Arial"/>
          <w:b/>
          <w:sz w:val="40"/>
          <w:szCs w:val="40"/>
          <w:u w:val="single"/>
          <w:lang w:val="en-US"/>
        </w:rPr>
        <w:t>Assignment 2</w:t>
      </w:r>
    </w:p>
    <w:p w:rsidR="00B07902" w:rsidRPr="00B07902" w:rsidRDefault="00B07902" w:rsidP="00B07902">
      <w:pPr>
        <w:rPr>
          <w:rFonts w:ascii="Arial" w:hAnsi="Arial" w:cs="Arial"/>
          <w:sz w:val="28"/>
          <w:szCs w:val="28"/>
          <w:lang w:val="en-US"/>
        </w:rPr>
      </w:pPr>
      <w:r w:rsidRPr="00B07902">
        <w:rPr>
          <w:rFonts w:ascii="Arial" w:hAnsi="Arial" w:cs="Arial"/>
          <w:lang w:val="en-US"/>
        </w:rPr>
        <w:br/>
      </w:r>
      <w:r w:rsidRPr="00B07902">
        <w:rPr>
          <w:rFonts w:ascii="Arial" w:hAnsi="Arial" w:cs="Arial"/>
          <w:lang w:val="en-US"/>
        </w:rPr>
        <w:br/>
      </w:r>
      <w:r w:rsidRPr="00B07902">
        <w:rPr>
          <w:rFonts w:ascii="Arial" w:hAnsi="Arial" w:cs="Arial"/>
          <w:sz w:val="28"/>
          <w:szCs w:val="28"/>
          <w:lang w:val="en-US"/>
        </w:rPr>
        <w:t>1) Liquidity Preference</w:t>
      </w:r>
      <w:r w:rsidRPr="00B07902">
        <w:rPr>
          <w:rFonts w:ascii="Arial" w:hAnsi="Arial" w:cs="Arial"/>
          <w:sz w:val="28"/>
          <w:szCs w:val="28"/>
          <w:lang w:val="en-US"/>
        </w:rPr>
        <w:br/>
        <w:t xml:space="preserve">    It states the investor will expect high interest rate when there is         investment in long term asset, which has high risk associated with it</w:t>
      </w:r>
    </w:p>
    <w:p w:rsidR="00B07902" w:rsidRPr="00B07902" w:rsidRDefault="00B07902" w:rsidP="00B07902">
      <w:pPr>
        <w:rPr>
          <w:rFonts w:ascii="Arial" w:hAnsi="Arial" w:cs="Arial"/>
          <w:sz w:val="36"/>
          <w:szCs w:val="36"/>
          <w:lang w:val="en-US"/>
        </w:rPr>
      </w:pPr>
    </w:p>
    <w:p w:rsidR="00B07902" w:rsidRPr="00B07902" w:rsidRDefault="00B07902" w:rsidP="00B07902">
      <w:pPr>
        <w:rPr>
          <w:rFonts w:ascii="Arial" w:hAnsi="Arial" w:cs="Arial"/>
          <w:sz w:val="28"/>
          <w:szCs w:val="28"/>
          <w:lang w:val="en-US"/>
        </w:rPr>
      </w:pPr>
      <w:r w:rsidRPr="00B07902">
        <w:rPr>
          <w:rFonts w:ascii="Arial" w:hAnsi="Arial" w:cs="Arial"/>
          <w:sz w:val="28"/>
          <w:szCs w:val="28"/>
          <w:lang w:val="en-US"/>
        </w:rPr>
        <w:t>2) Yes, Listing is likely to affect the dividend policy of the company. This is because as the company gets listed the number of shareholders increase and therefore company would need to satisfy the wants of the shareholders and usually after getting listed company is likely to pay more of the cash dividends</w:t>
      </w:r>
    </w:p>
    <w:p w:rsidR="00B07902" w:rsidRPr="00B07902" w:rsidRDefault="00B07902" w:rsidP="00B07902">
      <w:pPr>
        <w:rPr>
          <w:rFonts w:ascii="Arial" w:hAnsi="Arial" w:cs="Arial"/>
          <w:sz w:val="28"/>
          <w:szCs w:val="28"/>
          <w:lang w:val="en-US"/>
        </w:rPr>
      </w:pPr>
      <w:r w:rsidRPr="00B07902">
        <w:rPr>
          <w:rFonts w:ascii="Arial" w:hAnsi="Arial" w:cs="Arial"/>
          <w:sz w:val="28"/>
          <w:szCs w:val="28"/>
          <w:lang w:val="en-US"/>
        </w:rPr>
        <w:t xml:space="preserve">Conflict of interest affects a risk management program by the agency theory, company’s management would like to less risk and play safe to make sure </w:t>
      </w:r>
      <w:proofErr w:type="gramStart"/>
      <w:r w:rsidRPr="00B07902">
        <w:rPr>
          <w:rFonts w:ascii="Arial" w:hAnsi="Arial" w:cs="Arial"/>
          <w:sz w:val="28"/>
          <w:szCs w:val="28"/>
          <w:lang w:val="en-US"/>
        </w:rPr>
        <w:t>there</w:t>
      </w:r>
      <w:proofErr w:type="gramEnd"/>
      <w:r w:rsidRPr="00B07902">
        <w:rPr>
          <w:rFonts w:ascii="Arial" w:hAnsi="Arial" w:cs="Arial"/>
          <w:sz w:val="28"/>
          <w:szCs w:val="28"/>
          <w:lang w:val="en-US"/>
        </w:rPr>
        <w:t xml:space="preserve"> position in the company and shareholders want company to take sufficient risk in order to grow and that will increase the wealth of the shareholders which is the ultimate goal for shareholders</w:t>
      </w:r>
    </w:p>
    <w:p w:rsidR="00B07902" w:rsidRPr="00B07902" w:rsidRDefault="00B07902" w:rsidP="00B07902">
      <w:pPr>
        <w:rPr>
          <w:rFonts w:ascii="Arial" w:hAnsi="Arial" w:cs="Arial"/>
          <w:sz w:val="28"/>
          <w:szCs w:val="28"/>
          <w:lang w:val="en-US"/>
        </w:rPr>
      </w:pPr>
    </w:p>
    <w:p w:rsidR="00B07902" w:rsidRPr="00B07902" w:rsidRDefault="00B07902" w:rsidP="00B07902">
      <w:pPr>
        <w:rPr>
          <w:rFonts w:ascii="Arial" w:hAnsi="Arial" w:cs="Arial"/>
          <w:sz w:val="28"/>
          <w:szCs w:val="28"/>
          <w:lang w:val="en-US"/>
        </w:rPr>
      </w:pPr>
      <w:r w:rsidRPr="00B07902">
        <w:rPr>
          <w:rFonts w:ascii="Arial" w:hAnsi="Arial" w:cs="Arial"/>
          <w:sz w:val="28"/>
          <w:szCs w:val="28"/>
          <w:lang w:val="en-US"/>
        </w:rPr>
        <w:t>3) Factors that can influence dividend policy of the company are:</w:t>
      </w:r>
    </w:p>
    <w:p w:rsidR="00B07902" w:rsidRPr="00B07902" w:rsidRDefault="00B07902" w:rsidP="00B07902">
      <w:pPr>
        <w:pStyle w:val="ListParagraph"/>
        <w:numPr>
          <w:ilvl w:val="0"/>
          <w:numId w:val="1"/>
        </w:numPr>
        <w:rPr>
          <w:rFonts w:ascii="Arial" w:hAnsi="Arial" w:cs="Arial"/>
          <w:sz w:val="28"/>
          <w:szCs w:val="28"/>
          <w:lang w:val="en-US"/>
        </w:rPr>
      </w:pPr>
      <w:r w:rsidRPr="00B07902">
        <w:rPr>
          <w:rFonts w:ascii="Arial" w:hAnsi="Arial" w:cs="Arial"/>
          <w:sz w:val="28"/>
          <w:szCs w:val="28"/>
          <w:lang w:val="en-US"/>
        </w:rPr>
        <w:t>Stock market - Stock markets display significant adverse reactions to announcements of dividend cuts.</w:t>
      </w:r>
      <w:r w:rsidRPr="00B07902">
        <w:rPr>
          <w:rFonts w:ascii="Arial" w:hAnsi="Arial" w:cs="Arial"/>
        </w:rPr>
        <w:t xml:space="preserve"> </w:t>
      </w:r>
      <w:r w:rsidRPr="00B07902">
        <w:rPr>
          <w:rFonts w:ascii="Arial" w:hAnsi="Arial" w:cs="Arial"/>
          <w:sz w:val="28"/>
          <w:szCs w:val="28"/>
          <w:lang w:val="en-US"/>
        </w:rPr>
        <w:t>If the stock market is focused on the short term, it is possible that investors will reward companies that pay high dividends with a high share price.</w:t>
      </w:r>
    </w:p>
    <w:p w:rsidR="00B07902" w:rsidRPr="00B07902" w:rsidRDefault="00B07902" w:rsidP="00B07902">
      <w:pPr>
        <w:pStyle w:val="ListParagraph"/>
        <w:numPr>
          <w:ilvl w:val="0"/>
          <w:numId w:val="1"/>
        </w:numPr>
        <w:rPr>
          <w:rFonts w:ascii="Arial" w:hAnsi="Arial" w:cs="Arial"/>
          <w:sz w:val="28"/>
          <w:szCs w:val="28"/>
          <w:lang w:val="en-US"/>
        </w:rPr>
      </w:pPr>
      <w:r w:rsidRPr="00B07902">
        <w:rPr>
          <w:rFonts w:ascii="Arial" w:hAnsi="Arial" w:cs="Arial"/>
          <w:sz w:val="28"/>
          <w:szCs w:val="28"/>
          <w:lang w:val="en-US"/>
        </w:rPr>
        <w:t>Cash Reserves - Companies with large cash reserves that fear a takeover bid may well distribute generously to both encourage shareholder loyalty and limit the size of the ‘cash pile’. A cash pile is seen by investors as a sign of weakness.</w:t>
      </w:r>
    </w:p>
    <w:p w:rsidR="00B07902" w:rsidRPr="00B07902" w:rsidRDefault="00B07902" w:rsidP="00B07902">
      <w:pPr>
        <w:pStyle w:val="ListParagraph"/>
        <w:numPr>
          <w:ilvl w:val="0"/>
          <w:numId w:val="1"/>
        </w:numPr>
        <w:rPr>
          <w:rFonts w:ascii="Arial" w:hAnsi="Arial" w:cs="Arial"/>
          <w:sz w:val="28"/>
          <w:szCs w:val="28"/>
          <w:lang w:val="en-US"/>
        </w:rPr>
      </w:pPr>
      <w:r w:rsidRPr="00B07902">
        <w:rPr>
          <w:rFonts w:ascii="Arial" w:hAnsi="Arial" w:cs="Arial"/>
          <w:sz w:val="28"/>
          <w:szCs w:val="28"/>
          <w:lang w:val="en-US"/>
        </w:rPr>
        <w:t>Tax - Companies with a large proportion of non-tax paying shareholders may feel it appropriate to distribute a large proportion of earnings.</w:t>
      </w:r>
    </w:p>
    <w:p w:rsidR="00B07902" w:rsidRPr="00B07902" w:rsidRDefault="00B07902" w:rsidP="00B07902">
      <w:pPr>
        <w:pStyle w:val="ListParagraph"/>
        <w:numPr>
          <w:ilvl w:val="0"/>
          <w:numId w:val="1"/>
        </w:numPr>
        <w:rPr>
          <w:rFonts w:ascii="Arial" w:hAnsi="Arial" w:cs="Arial"/>
          <w:sz w:val="28"/>
          <w:szCs w:val="28"/>
          <w:lang w:val="en-US"/>
        </w:rPr>
      </w:pPr>
      <w:r w:rsidRPr="00B07902">
        <w:rPr>
          <w:rFonts w:ascii="Arial" w:hAnsi="Arial" w:cs="Arial"/>
          <w:sz w:val="28"/>
          <w:szCs w:val="28"/>
          <w:lang w:val="en-US"/>
        </w:rPr>
        <w:lastRenderedPageBreak/>
        <w:t>Growth opportunity - Companies in high-growth industries may find that the demands for capital investment to maintain competitive advantage exceed their capacity to borrow on satisfactory terms and may prefer to pay low dividends rather than making frequent rights issues.</w:t>
      </w:r>
    </w:p>
    <w:p w:rsidR="00B07902" w:rsidRPr="00B07902" w:rsidRDefault="00B07902" w:rsidP="00B07902">
      <w:pPr>
        <w:pStyle w:val="ListParagraph"/>
        <w:numPr>
          <w:ilvl w:val="0"/>
          <w:numId w:val="1"/>
        </w:numPr>
        <w:rPr>
          <w:rFonts w:ascii="Arial" w:hAnsi="Arial" w:cs="Arial"/>
          <w:sz w:val="28"/>
          <w:szCs w:val="28"/>
          <w:lang w:val="en-US"/>
        </w:rPr>
      </w:pPr>
      <w:r w:rsidRPr="00B07902">
        <w:rPr>
          <w:rFonts w:ascii="Arial" w:hAnsi="Arial" w:cs="Arial"/>
          <w:sz w:val="28"/>
          <w:szCs w:val="28"/>
          <w:lang w:val="en-US"/>
        </w:rPr>
        <w:t>Stability - Since companies with high dividend policies tend to attract investors who seek high payouts any move from one category to the other will cause adverse market reaction as investors readjust their portfolios.</w:t>
      </w:r>
    </w:p>
    <w:p w:rsidR="00B07902" w:rsidRPr="00B07902" w:rsidRDefault="00B07902">
      <w:pPr>
        <w:rPr>
          <w:rFonts w:ascii="Arial" w:hAnsi="Arial" w:cs="Arial"/>
        </w:rPr>
      </w:pPr>
      <w:r w:rsidRPr="00B07902">
        <w:rPr>
          <w:rFonts w:ascii="Arial" w:hAnsi="Arial" w:cs="Arial"/>
        </w:rPr>
        <w:t xml:space="preserve">4. </w:t>
      </w:r>
    </w:p>
    <w:tbl>
      <w:tblPr>
        <w:tblStyle w:val="TableGrid"/>
        <w:tblpPr w:leftFromText="180" w:rightFromText="180" w:vertAnchor="text" w:horzAnchor="margin" w:tblpY="397"/>
        <w:tblW w:w="9298" w:type="dxa"/>
        <w:tblLook w:val="04A0" w:firstRow="1" w:lastRow="0" w:firstColumn="1" w:lastColumn="0" w:noHBand="0" w:noVBand="1"/>
      </w:tblPr>
      <w:tblGrid>
        <w:gridCol w:w="1364"/>
        <w:gridCol w:w="1511"/>
        <w:gridCol w:w="1530"/>
        <w:gridCol w:w="1719"/>
        <w:gridCol w:w="1644"/>
        <w:gridCol w:w="1530"/>
      </w:tblGrid>
      <w:tr w:rsidR="00B07902" w:rsidRPr="00B07902" w:rsidTr="00B07902">
        <w:trPr>
          <w:trHeight w:val="980"/>
        </w:trPr>
        <w:tc>
          <w:tcPr>
            <w:tcW w:w="1364" w:type="dxa"/>
          </w:tcPr>
          <w:p w:rsidR="00B07902" w:rsidRPr="00B07902" w:rsidRDefault="00B07902" w:rsidP="0088192F">
            <w:pPr>
              <w:rPr>
                <w:rFonts w:ascii="Arial" w:hAnsi="Arial" w:cs="Arial"/>
                <w:sz w:val="24"/>
                <w:szCs w:val="24"/>
                <w:lang w:val="en-US"/>
              </w:rPr>
            </w:pPr>
          </w:p>
        </w:tc>
        <w:tc>
          <w:tcPr>
            <w:tcW w:w="1511" w:type="dxa"/>
          </w:tcPr>
          <w:p w:rsidR="00B07902" w:rsidRPr="00B07902" w:rsidRDefault="00B07902" w:rsidP="0088192F">
            <w:pPr>
              <w:rPr>
                <w:rFonts w:ascii="Arial" w:hAnsi="Arial" w:cs="Arial"/>
                <w:sz w:val="24"/>
                <w:szCs w:val="24"/>
                <w:lang w:val="en-US"/>
              </w:rPr>
            </w:pPr>
            <w:r w:rsidRPr="00B07902">
              <w:rPr>
                <w:rFonts w:ascii="Arial" w:hAnsi="Arial" w:cs="Arial"/>
                <w:sz w:val="24"/>
                <w:szCs w:val="24"/>
                <w:lang w:val="en-US"/>
              </w:rPr>
              <w:t xml:space="preserve">Sole </w:t>
            </w:r>
          </w:p>
          <w:p w:rsidR="00B07902" w:rsidRPr="00B07902" w:rsidRDefault="00B07902" w:rsidP="0088192F">
            <w:pPr>
              <w:rPr>
                <w:rFonts w:ascii="Arial" w:hAnsi="Arial" w:cs="Arial"/>
                <w:sz w:val="24"/>
                <w:szCs w:val="24"/>
                <w:lang w:val="en-US"/>
              </w:rPr>
            </w:pPr>
            <w:r w:rsidRPr="00B07902">
              <w:rPr>
                <w:rFonts w:ascii="Arial" w:hAnsi="Arial" w:cs="Arial"/>
                <w:sz w:val="24"/>
                <w:szCs w:val="24"/>
                <w:lang w:val="en-US"/>
              </w:rPr>
              <w:t>Proprietor</w:t>
            </w:r>
          </w:p>
          <w:p w:rsidR="00B07902" w:rsidRPr="00B07902" w:rsidRDefault="00B07902" w:rsidP="0088192F">
            <w:pPr>
              <w:rPr>
                <w:rFonts w:ascii="Arial" w:hAnsi="Arial" w:cs="Arial"/>
                <w:sz w:val="24"/>
                <w:szCs w:val="24"/>
                <w:lang w:val="en-US"/>
              </w:rPr>
            </w:pPr>
          </w:p>
        </w:tc>
        <w:tc>
          <w:tcPr>
            <w:tcW w:w="1530" w:type="dxa"/>
          </w:tcPr>
          <w:p w:rsidR="00B07902" w:rsidRPr="00B07902" w:rsidRDefault="00B07902" w:rsidP="0088192F">
            <w:pPr>
              <w:rPr>
                <w:rFonts w:ascii="Arial" w:hAnsi="Arial" w:cs="Arial"/>
                <w:sz w:val="24"/>
                <w:szCs w:val="24"/>
                <w:lang w:val="en-US"/>
              </w:rPr>
            </w:pPr>
            <w:r w:rsidRPr="00B07902">
              <w:rPr>
                <w:rFonts w:ascii="Arial" w:hAnsi="Arial" w:cs="Arial"/>
                <w:sz w:val="24"/>
                <w:szCs w:val="24"/>
                <w:lang w:val="en-US"/>
              </w:rPr>
              <w:t>Partnership</w:t>
            </w:r>
          </w:p>
        </w:tc>
        <w:tc>
          <w:tcPr>
            <w:tcW w:w="1719" w:type="dxa"/>
          </w:tcPr>
          <w:p w:rsidR="00B07902" w:rsidRPr="00B07902" w:rsidRDefault="00B07902" w:rsidP="0088192F">
            <w:pPr>
              <w:rPr>
                <w:rFonts w:ascii="Arial" w:hAnsi="Arial" w:cs="Arial"/>
                <w:sz w:val="24"/>
                <w:szCs w:val="24"/>
                <w:lang w:val="en-US"/>
              </w:rPr>
            </w:pPr>
            <w:r w:rsidRPr="00B07902">
              <w:rPr>
                <w:rFonts w:ascii="Arial" w:hAnsi="Arial" w:cs="Arial"/>
                <w:sz w:val="24"/>
                <w:szCs w:val="24"/>
                <w:lang w:val="en-US"/>
              </w:rPr>
              <w:t>Joint Hindu Family Business</w:t>
            </w:r>
          </w:p>
        </w:tc>
        <w:tc>
          <w:tcPr>
            <w:tcW w:w="1644" w:type="dxa"/>
          </w:tcPr>
          <w:p w:rsidR="00B07902" w:rsidRPr="00B07902" w:rsidRDefault="00B07902" w:rsidP="0088192F">
            <w:pPr>
              <w:rPr>
                <w:rFonts w:ascii="Arial" w:hAnsi="Arial" w:cs="Arial"/>
                <w:sz w:val="24"/>
                <w:szCs w:val="24"/>
                <w:lang w:val="en-US"/>
              </w:rPr>
            </w:pPr>
            <w:r w:rsidRPr="00B07902">
              <w:rPr>
                <w:rFonts w:ascii="Arial" w:hAnsi="Arial" w:cs="Arial"/>
                <w:sz w:val="24"/>
                <w:szCs w:val="24"/>
                <w:lang w:val="en-US"/>
              </w:rPr>
              <w:t>Joint Stock Company</w:t>
            </w:r>
          </w:p>
        </w:tc>
        <w:tc>
          <w:tcPr>
            <w:tcW w:w="1530" w:type="dxa"/>
          </w:tcPr>
          <w:p w:rsidR="00B07902" w:rsidRPr="00B07902" w:rsidRDefault="00B07902" w:rsidP="0088192F">
            <w:pPr>
              <w:rPr>
                <w:rFonts w:ascii="Arial" w:hAnsi="Arial" w:cs="Arial"/>
                <w:sz w:val="24"/>
                <w:szCs w:val="24"/>
                <w:lang w:val="en-US"/>
              </w:rPr>
            </w:pPr>
            <w:r w:rsidRPr="00B07902">
              <w:rPr>
                <w:rFonts w:ascii="Arial" w:hAnsi="Arial" w:cs="Arial"/>
                <w:sz w:val="24"/>
                <w:szCs w:val="24"/>
                <w:lang w:val="en-US"/>
              </w:rPr>
              <w:t>Limited Liability</w:t>
            </w:r>
          </w:p>
          <w:p w:rsidR="00B07902" w:rsidRPr="00B07902" w:rsidRDefault="00B07902" w:rsidP="0088192F">
            <w:pPr>
              <w:rPr>
                <w:rFonts w:ascii="Arial" w:hAnsi="Arial" w:cs="Arial"/>
                <w:sz w:val="24"/>
                <w:szCs w:val="24"/>
                <w:lang w:val="en-US"/>
              </w:rPr>
            </w:pPr>
            <w:r w:rsidRPr="00B07902">
              <w:rPr>
                <w:rFonts w:ascii="Arial" w:hAnsi="Arial" w:cs="Arial"/>
                <w:sz w:val="24"/>
                <w:szCs w:val="24"/>
                <w:lang w:val="en-US"/>
              </w:rPr>
              <w:t>Partnership</w:t>
            </w:r>
          </w:p>
          <w:p w:rsidR="00B07902" w:rsidRPr="00B07902" w:rsidRDefault="00B07902" w:rsidP="0088192F">
            <w:pPr>
              <w:rPr>
                <w:rFonts w:ascii="Arial" w:hAnsi="Arial" w:cs="Arial"/>
                <w:sz w:val="24"/>
                <w:szCs w:val="24"/>
                <w:lang w:val="en-US"/>
              </w:rPr>
            </w:pPr>
            <w:r w:rsidRPr="00B07902">
              <w:rPr>
                <w:rFonts w:ascii="Arial" w:hAnsi="Arial" w:cs="Arial"/>
                <w:sz w:val="24"/>
                <w:szCs w:val="24"/>
                <w:lang w:val="en-US"/>
              </w:rPr>
              <w:t xml:space="preserve"> </w:t>
            </w:r>
          </w:p>
        </w:tc>
      </w:tr>
      <w:tr w:rsidR="00B07902" w:rsidRPr="00B07902" w:rsidTr="00B07902">
        <w:trPr>
          <w:trHeight w:val="1031"/>
        </w:trPr>
        <w:tc>
          <w:tcPr>
            <w:tcW w:w="1364" w:type="dxa"/>
          </w:tcPr>
          <w:p w:rsidR="00B07902" w:rsidRPr="00B07902" w:rsidRDefault="00B07902" w:rsidP="0088192F">
            <w:pPr>
              <w:rPr>
                <w:rFonts w:ascii="Arial" w:hAnsi="Arial" w:cs="Arial"/>
                <w:sz w:val="24"/>
                <w:szCs w:val="24"/>
                <w:lang w:val="en-US"/>
              </w:rPr>
            </w:pPr>
            <w:r w:rsidRPr="00B07902">
              <w:rPr>
                <w:rFonts w:ascii="Arial" w:hAnsi="Arial" w:cs="Arial"/>
                <w:sz w:val="24"/>
                <w:szCs w:val="24"/>
                <w:lang w:val="en-US"/>
              </w:rPr>
              <w:t>Ownership</w:t>
            </w:r>
          </w:p>
        </w:tc>
        <w:tc>
          <w:tcPr>
            <w:tcW w:w="1511" w:type="dxa"/>
          </w:tcPr>
          <w:p w:rsidR="00B07902" w:rsidRPr="00B07902" w:rsidRDefault="00B07902" w:rsidP="0088192F">
            <w:pPr>
              <w:rPr>
                <w:rFonts w:ascii="Arial" w:hAnsi="Arial" w:cs="Arial"/>
                <w:sz w:val="24"/>
                <w:szCs w:val="24"/>
                <w:lang w:val="en-US"/>
              </w:rPr>
            </w:pPr>
            <w:r w:rsidRPr="00B07902">
              <w:rPr>
                <w:rFonts w:ascii="Arial" w:hAnsi="Arial" w:cs="Arial"/>
                <w:sz w:val="24"/>
                <w:szCs w:val="24"/>
                <w:lang w:val="en-US"/>
              </w:rPr>
              <w:t>Single</w:t>
            </w:r>
          </w:p>
        </w:tc>
        <w:tc>
          <w:tcPr>
            <w:tcW w:w="1530" w:type="dxa"/>
          </w:tcPr>
          <w:p w:rsidR="00B07902" w:rsidRPr="00B07902" w:rsidRDefault="00B07902" w:rsidP="0088192F">
            <w:pPr>
              <w:rPr>
                <w:rFonts w:ascii="Arial" w:hAnsi="Arial" w:cs="Arial"/>
                <w:sz w:val="24"/>
                <w:szCs w:val="24"/>
                <w:lang w:val="en-US"/>
              </w:rPr>
            </w:pPr>
            <w:r w:rsidRPr="00B07902">
              <w:rPr>
                <w:rFonts w:ascii="Arial" w:hAnsi="Arial" w:cs="Arial"/>
                <w:sz w:val="24"/>
                <w:szCs w:val="24"/>
                <w:lang w:val="en-US"/>
              </w:rPr>
              <w:t>2 or more partners</w:t>
            </w:r>
          </w:p>
        </w:tc>
        <w:tc>
          <w:tcPr>
            <w:tcW w:w="1719" w:type="dxa"/>
          </w:tcPr>
          <w:p w:rsidR="00B07902" w:rsidRPr="00B07902" w:rsidRDefault="00B07902" w:rsidP="0088192F">
            <w:pPr>
              <w:rPr>
                <w:rFonts w:ascii="Arial" w:hAnsi="Arial" w:cs="Arial"/>
                <w:sz w:val="24"/>
                <w:szCs w:val="24"/>
                <w:lang w:val="en-US"/>
              </w:rPr>
            </w:pPr>
            <w:r w:rsidRPr="00B07902">
              <w:rPr>
                <w:rFonts w:ascii="Arial" w:hAnsi="Arial" w:cs="Arial"/>
                <w:sz w:val="24"/>
                <w:szCs w:val="24"/>
                <w:lang w:val="en-US"/>
              </w:rPr>
              <w:t>Entire Joint Hindu Family</w:t>
            </w:r>
          </w:p>
        </w:tc>
        <w:tc>
          <w:tcPr>
            <w:tcW w:w="1644" w:type="dxa"/>
          </w:tcPr>
          <w:p w:rsidR="00B07902" w:rsidRPr="00B07902" w:rsidRDefault="00B07902" w:rsidP="0088192F">
            <w:pPr>
              <w:rPr>
                <w:rFonts w:ascii="Arial" w:hAnsi="Arial" w:cs="Arial"/>
                <w:sz w:val="24"/>
                <w:szCs w:val="24"/>
                <w:lang w:val="en-US"/>
              </w:rPr>
            </w:pPr>
            <w:r w:rsidRPr="00B07902">
              <w:rPr>
                <w:rFonts w:ascii="Arial" w:hAnsi="Arial" w:cs="Arial"/>
                <w:sz w:val="24"/>
                <w:szCs w:val="24"/>
                <w:lang w:val="en-US"/>
              </w:rPr>
              <w:t>Shareholders</w:t>
            </w:r>
          </w:p>
        </w:tc>
        <w:tc>
          <w:tcPr>
            <w:tcW w:w="1530" w:type="dxa"/>
          </w:tcPr>
          <w:p w:rsidR="00B07902" w:rsidRPr="00B07902" w:rsidRDefault="00B07902" w:rsidP="0088192F">
            <w:pPr>
              <w:rPr>
                <w:rFonts w:ascii="Arial" w:hAnsi="Arial" w:cs="Arial"/>
                <w:sz w:val="24"/>
                <w:szCs w:val="24"/>
                <w:lang w:val="en-US"/>
              </w:rPr>
            </w:pPr>
            <w:r w:rsidRPr="00B07902">
              <w:rPr>
                <w:rFonts w:ascii="Arial" w:hAnsi="Arial" w:cs="Arial"/>
                <w:sz w:val="24"/>
                <w:szCs w:val="24"/>
                <w:lang w:val="en-US"/>
              </w:rPr>
              <w:t>2 or more partners</w:t>
            </w:r>
          </w:p>
        </w:tc>
      </w:tr>
      <w:tr w:rsidR="00B07902" w:rsidRPr="00B07902" w:rsidTr="00B07902">
        <w:trPr>
          <w:trHeight w:val="1517"/>
        </w:trPr>
        <w:tc>
          <w:tcPr>
            <w:tcW w:w="1364" w:type="dxa"/>
          </w:tcPr>
          <w:p w:rsidR="00B07902" w:rsidRPr="00B07902" w:rsidRDefault="00B07902" w:rsidP="0088192F">
            <w:pPr>
              <w:rPr>
                <w:rFonts w:ascii="Arial" w:hAnsi="Arial" w:cs="Arial"/>
                <w:sz w:val="24"/>
                <w:szCs w:val="24"/>
                <w:lang w:val="en-US"/>
              </w:rPr>
            </w:pPr>
            <w:r w:rsidRPr="00B07902">
              <w:rPr>
                <w:rFonts w:ascii="Arial" w:hAnsi="Arial" w:cs="Arial"/>
                <w:sz w:val="24"/>
                <w:szCs w:val="24"/>
                <w:lang w:val="en-US"/>
              </w:rPr>
              <w:t>Liability</w:t>
            </w:r>
          </w:p>
        </w:tc>
        <w:tc>
          <w:tcPr>
            <w:tcW w:w="1511" w:type="dxa"/>
          </w:tcPr>
          <w:p w:rsidR="00B07902" w:rsidRPr="00B07902" w:rsidRDefault="00B07902" w:rsidP="0088192F">
            <w:pPr>
              <w:rPr>
                <w:rFonts w:ascii="Arial" w:hAnsi="Arial" w:cs="Arial"/>
                <w:sz w:val="24"/>
                <w:szCs w:val="24"/>
                <w:lang w:val="en-US"/>
              </w:rPr>
            </w:pPr>
            <w:r w:rsidRPr="00B07902">
              <w:rPr>
                <w:rFonts w:ascii="Arial" w:hAnsi="Arial" w:cs="Arial"/>
                <w:sz w:val="24"/>
                <w:szCs w:val="24"/>
                <w:lang w:val="en-US"/>
              </w:rPr>
              <w:t>Unlimited</w:t>
            </w:r>
          </w:p>
        </w:tc>
        <w:tc>
          <w:tcPr>
            <w:tcW w:w="1530" w:type="dxa"/>
          </w:tcPr>
          <w:p w:rsidR="00B07902" w:rsidRPr="00B07902" w:rsidRDefault="00B07902" w:rsidP="0088192F">
            <w:pPr>
              <w:rPr>
                <w:rFonts w:ascii="Arial" w:hAnsi="Arial" w:cs="Arial"/>
                <w:sz w:val="24"/>
                <w:szCs w:val="24"/>
                <w:lang w:val="en-US"/>
              </w:rPr>
            </w:pPr>
            <w:r w:rsidRPr="00B07902">
              <w:rPr>
                <w:rFonts w:ascii="Arial" w:hAnsi="Arial" w:cs="Arial"/>
                <w:sz w:val="24"/>
                <w:szCs w:val="24"/>
                <w:lang w:val="en-US"/>
              </w:rPr>
              <w:t>Unlimited</w:t>
            </w:r>
          </w:p>
        </w:tc>
        <w:tc>
          <w:tcPr>
            <w:tcW w:w="1719" w:type="dxa"/>
          </w:tcPr>
          <w:p w:rsidR="00B07902" w:rsidRPr="00B07902" w:rsidRDefault="00B07902" w:rsidP="0088192F">
            <w:pPr>
              <w:rPr>
                <w:rFonts w:ascii="Arial" w:hAnsi="Arial" w:cs="Arial"/>
                <w:sz w:val="24"/>
                <w:szCs w:val="24"/>
                <w:lang w:val="en-US"/>
              </w:rPr>
            </w:pPr>
            <w:r w:rsidRPr="00B07902">
              <w:rPr>
                <w:rFonts w:ascii="Arial" w:hAnsi="Arial" w:cs="Arial"/>
                <w:sz w:val="24"/>
                <w:szCs w:val="24"/>
                <w:lang w:val="en-US"/>
              </w:rPr>
              <w:t>Unlimited for Karta and limited for all others</w:t>
            </w:r>
          </w:p>
        </w:tc>
        <w:tc>
          <w:tcPr>
            <w:tcW w:w="1644" w:type="dxa"/>
          </w:tcPr>
          <w:p w:rsidR="00B07902" w:rsidRPr="00B07902" w:rsidRDefault="00B07902" w:rsidP="0088192F">
            <w:pPr>
              <w:rPr>
                <w:rFonts w:ascii="Arial" w:hAnsi="Arial" w:cs="Arial"/>
                <w:sz w:val="24"/>
                <w:szCs w:val="24"/>
                <w:lang w:val="en-US"/>
              </w:rPr>
            </w:pPr>
            <w:r w:rsidRPr="00B07902">
              <w:rPr>
                <w:rFonts w:ascii="Arial" w:hAnsi="Arial" w:cs="Arial"/>
                <w:sz w:val="24"/>
                <w:szCs w:val="24"/>
                <w:lang w:val="en-US"/>
              </w:rPr>
              <w:t>Limited</w:t>
            </w:r>
          </w:p>
        </w:tc>
        <w:tc>
          <w:tcPr>
            <w:tcW w:w="1530" w:type="dxa"/>
          </w:tcPr>
          <w:p w:rsidR="00B07902" w:rsidRPr="00B07902" w:rsidRDefault="00B07902" w:rsidP="0088192F">
            <w:pPr>
              <w:rPr>
                <w:rFonts w:ascii="Arial" w:hAnsi="Arial" w:cs="Arial"/>
                <w:sz w:val="24"/>
                <w:szCs w:val="24"/>
                <w:lang w:val="en-US"/>
              </w:rPr>
            </w:pPr>
            <w:r w:rsidRPr="00B07902">
              <w:rPr>
                <w:rFonts w:ascii="Arial" w:hAnsi="Arial" w:cs="Arial"/>
                <w:sz w:val="24"/>
                <w:szCs w:val="24"/>
                <w:lang w:val="en-US"/>
              </w:rPr>
              <w:t>Limited</w:t>
            </w:r>
          </w:p>
        </w:tc>
      </w:tr>
      <w:tr w:rsidR="00B07902" w:rsidRPr="00B07902" w:rsidTr="00B07902">
        <w:trPr>
          <w:trHeight w:val="1780"/>
        </w:trPr>
        <w:tc>
          <w:tcPr>
            <w:tcW w:w="1364" w:type="dxa"/>
          </w:tcPr>
          <w:p w:rsidR="00B07902" w:rsidRPr="00B07902" w:rsidRDefault="00B07902" w:rsidP="0088192F">
            <w:pPr>
              <w:rPr>
                <w:rFonts w:ascii="Arial" w:hAnsi="Arial" w:cs="Arial"/>
                <w:sz w:val="24"/>
                <w:szCs w:val="24"/>
                <w:lang w:val="en-US"/>
              </w:rPr>
            </w:pPr>
            <w:r w:rsidRPr="00B07902">
              <w:rPr>
                <w:rFonts w:ascii="Arial" w:hAnsi="Arial" w:cs="Arial"/>
                <w:sz w:val="24"/>
                <w:szCs w:val="24"/>
                <w:lang w:val="en-US"/>
              </w:rPr>
              <w:t>Legal Status</w:t>
            </w:r>
          </w:p>
        </w:tc>
        <w:tc>
          <w:tcPr>
            <w:tcW w:w="1511" w:type="dxa"/>
          </w:tcPr>
          <w:p w:rsidR="00B07902" w:rsidRPr="00B07902" w:rsidRDefault="00B07902" w:rsidP="0088192F">
            <w:pPr>
              <w:rPr>
                <w:rFonts w:ascii="Arial" w:hAnsi="Arial" w:cs="Arial"/>
                <w:sz w:val="24"/>
                <w:szCs w:val="24"/>
                <w:lang w:val="en-US"/>
              </w:rPr>
            </w:pPr>
            <w:r w:rsidRPr="00B07902">
              <w:rPr>
                <w:rFonts w:ascii="Arial" w:hAnsi="Arial" w:cs="Arial"/>
                <w:sz w:val="24"/>
                <w:szCs w:val="24"/>
                <w:lang w:val="en-US"/>
              </w:rPr>
              <w:t>Not a separate legal entity</w:t>
            </w:r>
          </w:p>
        </w:tc>
        <w:tc>
          <w:tcPr>
            <w:tcW w:w="1530" w:type="dxa"/>
          </w:tcPr>
          <w:p w:rsidR="00B07902" w:rsidRPr="00B07902" w:rsidRDefault="00B07902" w:rsidP="0088192F">
            <w:pPr>
              <w:rPr>
                <w:rFonts w:ascii="Arial" w:hAnsi="Arial" w:cs="Arial"/>
                <w:sz w:val="24"/>
                <w:szCs w:val="24"/>
                <w:lang w:val="en-US"/>
              </w:rPr>
            </w:pPr>
            <w:r w:rsidRPr="00B07902">
              <w:rPr>
                <w:rFonts w:ascii="Arial" w:hAnsi="Arial" w:cs="Arial"/>
                <w:sz w:val="24"/>
                <w:szCs w:val="24"/>
                <w:lang w:val="en-US"/>
              </w:rPr>
              <w:t>Not a separate legal entity</w:t>
            </w:r>
          </w:p>
        </w:tc>
        <w:tc>
          <w:tcPr>
            <w:tcW w:w="1719" w:type="dxa"/>
          </w:tcPr>
          <w:p w:rsidR="00B07902" w:rsidRPr="00B07902" w:rsidRDefault="00B07902" w:rsidP="0088192F">
            <w:pPr>
              <w:rPr>
                <w:rFonts w:ascii="Arial" w:hAnsi="Arial" w:cs="Arial"/>
                <w:sz w:val="24"/>
                <w:szCs w:val="24"/>
                <w:lang w:val="en-US"/>
              </w:rPr>
            </w:pPr>
            <w:r w:rsidRPr="00B07902">
              <w:rPr>
                <w:rFonts w:ascii="Arial" w:hAnsi="Arial" w:cs="Arial"/>
                <w:sz w:val="24"/>
                <w:szCs w:val="24"/>
                <w:lang w:val="en-US"/>
              </w:rPr>
              <w:t>Not a separate legal entity</w:t>
            </w:r>
          </w:p>
        </w:tc>
        <w:tc>
          <w:tcPr>
            <w:tcW w:w="1644" w:type="dxa"/>
          </w:tcPr>
          <w:p w:rsidR="00B07902" w:rsidRPr="00B07902" w:rsidRDefault="00B07902" w:rsidP="0088192F">
            <w:pPr>
              <w:rPr>
                <w:rFonts w:ascii="Arial" w:hAnsi="Arial" w:cs="Arial"/>
                <w:sz w:val="24"/>
                <w:szCs w:val="24"/>
                <w:lang w:val="en-US"/>
              </w:rPr>
            </w:pPr>
            <w:r w:rsidRPr="00B07902">
              <w:rPr>
                <w:rFonts w:ascii="Arial" w:hAnsi="Arial" w:cs="Arial"/>
                <w:sz w:val="24"/>
                <w:szCs w:val="24"/>
                <w:lang w:val="en-US"/>
              </w:rPr>
              <w:t>Separate legal entity</w:t>
            </w:r>
          </w:p>
        </w:tc>
        <w:tc>
          <w:tcPr>
            <w:tcW w:w="1530" w:type="dxa"/>
          </w:tcPr>
          <w:p w:rsidR="00B07902" w:rsidRPr="00B07902" w:rsidRDefault="00B07902" w:rsidP="0088192F">
            <w:pPr>
              <w:rPr>
                <w:rFonts w:ascii="Arial" w:hAnsi="Arial" w:cs="Arial"/>
                <w:sz w:val="24"/>
                <w:szCs w:val="24"/>
                <w:lang w:val="en-US"/>
              </w:rPr>
            </w:pPr>
            <w:r w:rsidRPr="00B07902">
              <w:rPr>
                <w:rFonts w:ascii="Arial" w:hAnsi="Arial" w:cs="Arial"/>
                <w:sz w:val="24"/>
                <w:szCs w:val="24"/>
                <w:lang w:val="en-US"/>
              </w:rPr>
              <w:t>Separate legal entity</w:t>
            </w:r>
          </w:p>
        </w:tc>
      </w:tr>
    </w:tbl>
    <w:p w:rsidR="00E16382" w:rsidRPr="00B07902" w:rsidRDefault="00E16382">
      <w:pPr>
        <w:rPr>
          <w:rFonts w:ascii="Arial" w:hAnsi="Arial" w:cs="Arial"/>
        </w:rPr>
      </w:pPr>
    </w:p>
    <w:p w:rsidR="00B07902" w:rsidRPr="00B07902" w:rsidRDefault="00B07902">
      <w:pPr>
        <w:rPr>
          <w:rFonts w:ascii="Arial" w:hAnsi="Arial" w:cs="Arial"/>
        </w:rPr>
      </w:pPr>
    </w:p>
    <w:p w:rsidR="00B07902" w:rsidRPr="00B07902" w:rsidRDefault="00B07902" w:rsidP="00B07902">
      <w:pPr>
        <w:rPr>
          <w:rFonts w:ascii="Arial" w:hAnsi="Arial" w:cs="Arial"/>
          <w:sz w:val="28"/>
          <w:szCs w:val="28"/>
          <w:lang w:val="en-US"/>
        </w:rPr>
      </w:pPr>
      <w:r w:rsidRPr="00B07902">
        <w:rPr>
          <w:rFonts w:ascii="Arial" w:hAnsi="Arial" w:cs="Arial"/>
          <w:sz w:val="28"/>
          <w:szCs w:val="28"/>
          <w:lang w:val="en-US"/>
        </w:rPr>
        <w:t>5) Keeping tax in mind I would suggest to go for sole proprietorship over limited company as the sole proprietor has to pay only personnel income tax whereas the owners of the limited company have to pay corporation tax as well as personnel income tax</w:t>
      </w:r>
    </w:p>
    <w:p w:rsidR="00B07902" w:rsidRPr="00B07902" w:rsidRDefault="00B07902" w:rsidP="00B07902">
      <w:pPr>
        <w:rPr>
          <w:rFonts w:ascii="Arial" w:hAnsi="Arial" w:cs="Arial"/>
          <w:sz w:val="28"/>
          <w:szCs w:val="28"/>
          <w:lang w:val="en-US"/>
        </w:rPr>
      </w:pPr>
    </w:p>
    <w:p w:rsidR="00B07902" w:rsidRPr="00B07902" w:rsidRDefault="00B07902" w:rsidP="00B07902">
      <w:pPr>
        <w:rPr>
          <w:rFonts w:ascii="Arial" w:hAnsi="Arial" w:cs="Arial"/>
          <w:color w:val="000000" w:themeColor="text1"/>
          <w:sz w:val="28"/>
          <w:szCs w:val="28"/>
          <w:shd w:val="clear" w:color="auto" w:fill="FFFFFF"/>
        </w:rPr>
      </w:pPr>
      <w:r w:rsidRPr="00B07902">
        <w:rPr>
          <w:rFonts w:ascii="Arial" w:hAnsi="Arial" w:cs="Arial"/>
          <w:sz w:val="28"/>
          <w:szCs w:val="28"/>
          <w:lang w:val="en-US"/>
        </w:rPr>
        <w:t xml:space="preserve">6) </w:t>
      </w:r>
      <w:r w:rsidRPr="00B07902">
        <w:rPr>
          <w:rFonts w:ascii="Arial" w:hAnsi="Arial" w:cs="Arial"/>
          <w:color w:val="000000" w:themeColor="text1"/>
          <w:sz w:val="28"/>
          <w:szCs w:val="28"/>
          <w:shd w:val="clear" w:color="auto" w:fill="FFFFFF"/>
        </w:rPr>
        <w:t xml:space="preserve">The irrelevance proposition theorem is a theory of corporate capital structure that was developed by Merton Miller and Franco Modigliani in </w:t>
      </w:r>
      <w:r w:rsidRPr="00B07902">
        <w:rPr>
          <w:rFonts w:ascii="Arial" w:hAnsi="Arial" w:cs="Arial"/>
          <w:color w:val="000000" w:themeColor="text1"/>
          <w:sz w:val="28"/>
          <w:szCs w:val="28"/>
          <w:shd w:val="clear" w:color="auto" w:fill="FFFFFF"/>
        </w:rPr>
        <w:lastRenderedPageBreak/>
        <w:t>1958. This theory states that the capital structure of a company does not affect its value.</w:t>
      </w:r>
    </w:p>
    <w:p w:rsidR="00B07902" w:rsidRPr="00B07902" w:rsidRDefault="00B07902" w:rsidP="00B07902">
      <w:pPr>
        <w:rPr>
          <w:rFonts w:ascii="Arial" w:hAnsi="Arial" w:cs="Arial"/>
          <w:color w:val="000000" w:themeColor="text1"/>
          <w:sz w:val="28"/>
          <w:szCs w:val="28"/>
          <w:shd w:val="clear" w:color="auto" w:fill="FFFFFF"/>
        </w:rPr>
      </w:pPr>
    </w:p>
    <w:p w:rsidR="00B07902" w:rsidRPr="00B07902" w:rsidRDefault="00B07902" w:rsidP="00B07902">
      <w:pPr>
        <w:rPr>
          <w:rFonts w:ascii="Arial" w:hAnsi="Arial" w:cs="Arial"/>
          <w:color w:val="202124"/>
          <w:sz w:val="28"/>
          <w:szCs w:val="28"/>
          <w:shd w:val="clear" w:color="auto" w:fill="FFFFFF"/>
        </w:rPr>
      </w:pPr>
      <w:r w:rsidRPr="00B07902">
        <w:rPr>
          <w:rFonts w:ascii="Arial" w:hAnsi="Arial" w:cs="Arial"/>
          <w:color w:val="000000" w:themeColor="text1"/>
          <w:sz w:val="28"/>
          <w:szCs w:val="28"/>
          <w:shd w:val="clear" w:color="auto" w:fill="FFFFFF"/>
        </w:rPr>
        <w:t xml:space="preserve">7) </w:t>
      </w:r>
      <w:r w:rsidRPr="00B07902">
        <w:rPr>
          <w:rFonts w:ascii="Arial" w:hAnsi="Arial" w:cs="Arial"/>
          <w:color w:val="202124"/>
          <w:sz w:val="28"/>
          <w:szCs w:val="28"/>
          <w:shd w:val="clear" w:color="auto" w:fill="FFFFFF"/>
        </w:rPr>
        <w:t>Fixed capital includes the assets or investments needed to start and maintain a business, like property or equipment. Working capital is the cash or other liquid assets that a business uses to cover daily operations, like meeting payroll and paying bills</w:t>
      </w:r>
    </w:p>
    <w:p w:rsidR="00B07902" w:rsidRPr="00B07902" w:rsidRDefault="00B07902" w:rsidP="00B07902">
      <w:pPr>
        <w:rPr>
          <w:rFonts w:ascii="Arial" w:hAnsi="Arial" w:cs="Arial"/>
          <w:color w:val="202124"/>
          <w:sz w:val="28"/>
          <w:szCs w:val="28"/>
          <w:shd w:val="clear" w:color="auto" w:fill="FFFFFF"/>
        </w:rPr>
      </w:pPr>
    </w:p>
    <w:p w:rsidR="00B07902" w:rsidRPr="00B07902" w:rsidRDefault="00B07902" w:rsidP="00B07902">
      <w:pPr>
        <w:rPr>
          <w:rFonts w:ascii="Arial" w:hAnsi="Arial" w:cs="Arial"/>
          <w:color w:val="202124"/>
          <w:sz w:val="28"/>
          <w:szCs w:val="28"/>
          <w:shd w:val="clear" w:color="auto" w:fill="FFFFFF"/>
        </w:rPr>
      </w:pPr>
      <w:r w:rsidRPr="00B07902">
        <w:rPr>
          <w:rFonts w:ascii="Arial" w:hAnsi="Arial" w:cs="Arial"/>
          <w:color w:val="202124"/>
          <w:sz w:val="28"/>
          <w:szCs w:val="28"/>
          <w:shd w:val="clear" w:color="auto" w:fill="FFFFFF"/>
        </w:rPr>
        <w:t>8) Economies of scale are the cost advantages that enterprises obtain due to their scale of operation, and are typically measured by the amount of output produced. A decrease in cost per unit of output enables an increase in scale. At the basis of economies of scale there may be technical, statistical, organizational or related factors to the degree of market control.</w:t>
      </w:r>
    </w:p>
    <w:p w:rsidR="00B07902" w:rsidRPr="00B07902" w:rsidRDefault="00B07902" w:rsidP="00B07902">
      <w:pPr>
        <w:rPr>
          <w:rFonts w:ascii="Arial" w:hAnsi="Arial" w:cs="Arial"/>
          <w:color w:val="202124"/>
          <w:sz w:val="28"/>
          <w:szCs w:val="28"/>
          <w:shd w:val="clear" w:color="auto" w:fill="FFFFFF"/>
        </w:rPr>
      </w:pPr>
    </w:p>
    <w:p w:rsidR="00B07902" w:rsidRPr="00B07902" w:rsidRDefault="00B07902" w:rsidP="00B07902">
      <w:pPr>
        <w:rPr>
          <w:rFonts w:ascii="Arial" w:hAnsi="Arial" w:cs="Arial"/>
          <w:color w:val="202124"/>
          <w:sz w:val="28"/>
          <w:szCs w:val="28"/>
          <w:shd w:val="clear" w:color="auto" w:fill="FFFFFF"/>
        </w:rPr>
      </w:pPr>
      <w:r w:rsidRPr="00B07902">
        <w:rPr>
          <w:rFonts w:ascii="Arial" w:hAnsi="Arial" w:cs="Arial"/>
          <w:color w:val="202124"/>
          <w:sz w:val="28"/>
          <w:szCs w:val="28"/>
          <w:shd w:val="clear" w:color="auto" w:fill="FFFFFF"/>
        </w:rPr>
        <w:t xml:space="preserve">9) Consequences of requiring the pension fund/ investment company to report its financial position annually rather than triennially are that costumers should have the surety of the money is being rightly used and their investment is going in right direction annually </w:t>
      </w:r>
    </w:p>
    <w:p w:rsidR="00B07902" w:rsidRPr="00B07902" w:rsidRDefault="00B07902" w:rsidP="00B07902">
      <w:pPr>
        <w:rPr>
          <w:rFonts w:ascii="Arial" w:hAnsi="Arial" w:cs="Arial"/>
          <w:color w:val="202124"/>
          <w:sz w:val="28"/>
          <w:szCs w:val="28"/>
          <w:shd w:val="clear" w:color="auto" w:fill="FFFFFF"/>
        </w:rPr>
      </w:pPr>
    </w:p>
    <w:p w:rsidR="00B07902" w:rsidRPr="00B07902" w:rsidRDefault="00B07902" w:rsidP="00B07902">
      <w:pPr>
        <w:rPr>
          <w:rFonts w:ascii="Arial" w:hAnsi="Arial" w:cs="Arial"/>
          <w:color w:val="202124"/>
          <w:sz w:val="28"/>
          <w:szCs w:val="28"/>
          <w:shd w:val="clear" w:color="auto" w:fill="FFFFFF"/>
        </w:rPr>
      </w:pPr>
      <w:r w:rsidRPr="00B07902">
        <w:rPr>
          <w:rFonts w:ascii="Arial" w:hAnsi="Arial" w:cs="Arial"/>
          <w:color w:val="202124"/>
          <w:sz w:val="28"/>
          <w:szCs w:val="28"/>
          <w:shd w:val="clear" w:color="auto" w:fill="FFFFFF"/>
        </w:rPr>
        <w:t>10) I would choose scenario 2, as losing ₹2000 today and finding it tomorrow will leave you in the similar position as before but you lose the opportunity of spending those 2000 today and lose the mental peace for a day too</w:t>
      </w:r>
    </w:p>
    <w:p w:rsidR="00B07902" w:rsidRPr="00B07902" w:rsidRDefault="00B07902" w:rsidP="00B07902">
      <w:pPr>
        <w:rPr>
          <w:rFonts w:ascii="Arial" w:hAnsi="Arial" w:cs="Arial"/>
          <w:color w:val="202124"/>
          <w:sz w:val="28"/>
          <w:szCs w:val="28"/>
          <w:shd w:val="clear" w:color="auto" w:fill="FFFFFF"/>
        </w:rPr>
      </w:pPr>
    </w:p>
    <w:p w:rsidR="00B07902" w:rsidRPr="00B07902" w:rsidRDefault="00B07902" w:rsidP="00B07902">
      <w:pPr>
        <w:rPr>
          <w:rFonts w:ascii="Arial" w:hAnsi="Arial" w:cs="Arial"/>
          <w:color w:val="202124"/>
          <w:sz w:val="28"/>
          <w:szCs w:val="28"/>
          <w:shd w:val="clear" w:color="auto" w:fill="FFFFFF"/>
        </w:rPr>
      </w:pPr>
      <w:r w:rsidRPr="00B07902">
        <w:rPr>
          <w:rFonts w:ascii="Arial" w:hAnsi="Arial" w:cs="Arial"/>
          <w:color w:val="202124"/>
          <w:sz w:val="28"/>
          <w:szCs w:val="28"/>
          <w:shd w:val="clear" w:color="auto" w:fill="FFFFFF"/>
        </w:rPr>
        <w:t xml:space="preserve">11) Possible cost of holding buffer inventory / stock of goods </w:t>
      </w:r>
      <w:proofErr w:type="gramStart"/>
      <w:r w:rsidRPr="00B07902">
        <w:rPr>
          <w:rFonts w:ascii="Arial" w:hAnsi="Arial" w:cs="Arial"/>
          <w:color w:val="202124"/>
          <w:sz w:val="28"/>
          <w:szCs w:val="28"/>
          <w:shd w:val="clear" w:color="auto" w:fill="FFFFFF"/>
        </w:rPr>
        <w:t>are :</w:t>
      </w:r>
      <w:proofErr w:type="gramEnd"/>
      <w:r w:rsidRPr="00B07902">
        <w:rPr>
          <w:rFonts w:ascii="Arial" w:hAnsi="Arial" w:cs="Arial"/>
          <w:color w:val="202124"/>
          <w:sz w:val="28"/>
          <w:szCs w:val="28"/>
          <w:shd w:val="clear" w:color="auto" w:fill="FFFFFF"/>
        </w:rPr>
        <w:t xml:space="preserve"> Shortage cost , labour , insurance </w:t>
      </w:r>
      <w:proofErr w:type="spellStart"/>
      <w:r w:rsidRPr="00B07902">
        <w:rPr>
          <w:rFonts w:ascii="Arial" w:hAnsi="Arial" w:cs="Arial"/>
          <w:color w:val="202124"/>
          <w:sz w:val="28"/>
          <w:szCs w:val="28"/>
          <w:shd w:val="clear" w:color="auto" w:fill="FFFFFF"/>
        </w:rPr>
        <w:t>etc</w:t>
      </w:r>
      <w:proofErr w:type="spellEnd"/>
    </w:p>
    <w:p w:rsidR="00B07902" w:rsidRPr="00B07902" w:rsidRDefault="00B07902">
      <w:pPr>
        <w:rPr>
          <w:rFonts w:ascii="Arial" w:hAnsi="Arial" w:cs="Arial"/>
        </w:rPr>
      </w:pPr>
    </w:p>
    <w:sectPr w:rsidR="00B07902" w:rsidRPr="00B079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AE1B48"/>
    <w:multiLevelType w:val="hybridMultilevel"/>
    <w:tmpl w:val="84E4C2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902"/>
    <w:rsid w:val="00B07902"/>
    <w:rsid w:val="00E16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B5138"/>
  <w15:chartTrackingRefBased/>
  <w15:docId w15:val="{8207E560-66AF-4377-83AA-A09C80F97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902"/>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902"/>
    <w:pPr>
      <w:ind w:left="720"/>
      <w:contextualSpacing/>
    </w:pPr>
  </w:style>
  <w:style w:type="table" w:styleId="TableGrid">
    <w:name w:val="Table Grid"/>
    <w:basedOn w:val="TableNormal"/>
    <w:uiPriority w:val="39"/>
    <w:rsid w:val="00B07902"/>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Divya</dc:creator>
  <cp:keywords/>
  <dc:description/>
  <cp:lastModifiedBy>Divya</cp:lastModifiedBy>
  <cp:revision>1</cp:revision>
  <dcterms:created xsi:type="dcterms:W3CDTF">2022-01-25T13:51:00Z</dcterms:created>
  <dcterms:modified xsi:type="dcterms:W3CDTF">2022-01-25T13:55:00Z</dcterms:modified>
</cp:coreProperties>
</file>