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5737" w14:textId="77777777" w:rsidR="003864A2" w:rsidRDefault="003864A2">
      <w:pPr>
        <w:rPr>
          <w:rFonts w:ascii="Times New Roman" w:hAnsi="Times New Roman" w:cs="Times New Roman"/>
          <w:sz w:val="24"/>
          <w:szCs w:val="24"/>
          <w:lang w:val="en-US"/>
        </w:rPr>
      </w:pPr>
    </w:p>
    <w:p w14:paraId="72536309" w14:textId="43247F58" w:rsidR="003864A2" w:rsidRDefault="003864A2">
      <w:pPr>
        <w:rPr>
          <w:rFonts w:ascii="Times New Roman" w:hAnsi="Times New Roman" w:cs="Times New Roman"/>
          <w:sz w:val="24"/>
          <w:szCs w:val="24"/>
          <w:lang w:val="en-US"/>
        </w:rPr>
      </w:pPr>
      <w:r>
        <w:rPr>
          <w:rFonts w:ascii="Times New Roman" w:hAnsi="Times New Roman" w:cs="Times New Roman"/>
          <w:sz w:val="24"/>
          <w:szCs w:val="24"/>
          <w:lang w:val="en-US"/>
        </w:rPr>
        <w:t>Paraj Shah</w:t>
      </w:r>
    </w:p>
    <w:p w14:paraId="6A361CD9" w14:textId="63FB29DF" w:rsidR="003864A2" w:rsidRDefault="003864A2">
      <w:pPr>
        <w:rPr>
          <w:rFonts w:ascii="Times New Roman" w:hAnsi="Times New Roman" w:cs="Times New Roman"/>
          <w:sz w:val="24"/>
          <w:szCs w:val="24"/>
          <w:lang w:val="en-US"/>
        </w:rPr>
      </w:pPr>
      <w:r>
        <w:rPr>
          <w:rFonts w:ascii="Times New Roman" w:hAnsi="Times New Roman" w:cs="Times New Roman"/>
          <w:sz w:val="24"/>
          <w:szCs w:val="24"/>
          <w:lang w:val="en-US"/>
        </w:rPr>
        <w:t>Roll No:- 31</w:t>
      </w:r>
    </w:p>
    <w:p w14:paraId="2FDEC976" w14:textId="056E44D5" w:rsidR="00EC21C8" w:rsidRPr="003864A2" w:rsidRDefault="00EC21C8">
      <w:pPr>
        <w:rPr>
          <w:rFonts w:ascii="Times New Roman" w:hAnsi="Times New Roman" w:cs="Times New Roman"/>
          <w:sz w:val="24"/>
          <w:szCs w:val="24"/>
          <w:lang w:val="en-US"/>
        </w:rPr>
      </w:pPr>
      <w:r w:rsidRPr="003864A2">
        <w:rPr>
          <w:rFonts w:ascii="Times New Roman" w:hAnsi="Times New Roman" w:cs="Times New Roman"/>
          <w:sz w:val="24"/>
          <w:szCs w:val="24"/>
          <w:lang w:val="en-US"/>
        </w:rPr>
        <w:t>PORTFOLIO THEORY AND SECURITY ANALYSIS</w:t>
      </w:r>
      <w:r w:rsidR="00412DDE" w:rsidRPr="003864A2">
        <w:rPr>
          <w:rFonts w:ascii="Times New Roman" w:hAnsi="Times New Roman" w:cs="Times New Roman"/>
          <w:sz w:val="24"/>
          <w:szCs w:val="24"/>
          <w:lang w:val="en-US"/>
        </w:rPr>
        <w:t xml:space="preserve"> [</w:t>
      </w:r>
      <w:r w:rsidRPr="003864A2">
        <w:rPr>
          <w:rFonts w:ascii="Times New Roman" w:hAnsi="Times New Roman" w:cs="Times New Roman"/>
          <w:sz w:val="24"/>
          <w:szCs w:val="24"/>
          <w:lang w:val="en-US"/>
        </w:rPr>
        <w:t>ASSIGNMENT-1</w:t>
      </w:r>
      <w:r w:rsidR="00412DDE" w:rsidRPr="003864A2">
        <w:rPr>
          <w:rFonts w:ascii="Times New Roman" w:hAnsi="Times New Roman" w:cs="Times New Roman"/>
          <w:sz w:val="24"/>
          <w:szCs w:val="24"/>
          <w:lang w:val="en-US"/>
        </w:rPr>
        <w:t>]</w:t>
      </w:r>
    </w:p>
    <w:p w14:paraId="41E76974" w14:textId="5194668F" w:rsidR="00412DDE" w:rsidRPr="003864A2" w:rsidRDefault="00412DDE" w:rsidP="00412DDE">
      <w:pPr>
        <w:jc w:val="center"/>
        <w:rPr>
          <w:rFonts w:ascii="Times New Roman" w:hAnsi="Times New Roman" w:cs="Times New Roman"/>
          <w:sz w:val="24"/>
          <w:szCs w:val="24"/>
          <w:lang w:val="en-US"/>
        </w:rPr>
      </w:pPr>
      <w:r w:rsidRPr="003864A2">
        <w:rPr>
          <w:rFonts w:ascii="Times New Roman" w:hAnsi="Times New Roman" w:cs="Times New Roman"/>
          <w:sz w:val="24"/>
          <w:szCs w:val="24"/>
          <w:lang w:val="en-US"/>
        </w:rPr>
        <w:t>UNIT-2</w:t>
      </w:r>
    </w:p>
    <w:p w14:paraId="0535A23F" w14:textId="5F2AD2CE" w:rsidR="00EC21C8" w:rsidRPr="003864A2" w:rsidRDefault="00EC21C8">
      <w:pPr>
        <w:rPr>
          <w:rFonts w:ascii="Times New Roman" w:hAnsi="Times New Roman" w:cs="Times New Roman"/>
          <w:sz w:val="24"/>
          <w:szCs w:val="24"/>
          <w:lang w:val="en-US"/>
        </w:rPr>
      </w:pPr>
      <w:r w:rsidRPr="003864A2">
        <w:rPr>
          <w:rFonts w:ascii="Times New Roman" w:hAnsi="Times New Roman" w:cs="Times New Roman"/>
          <w:sz w:val="24"/>
          <w:szCs w:val="24"/>
          <w:lang w:val="en-US"/>
        </w:rPr>
        <w:t xml:space="preserve">Q1] </w:t>
      </w:r>
      <w:r w:rsidR="00C50ECA" w:rsidRPr="003864A2">
        <w:rPr>
          <w:rFonts w:ascii="Times New Roman" w:hAnsi="Times New Roman" w:cs="Times New Roman"/>
          <w:sz w:val="24"/>
          <w:szCs w:val="24"/>
          <w:lang w:val="en-US"/>
        </w:rPr>
        <w:t>A-brokerage costs</w:t>
      </w:r>
    </w:p>
    <w:p w14:paraId="219620E4" w14:textId="24F5DB5D" w:rsidR="00EC21C8" w:rsidRPr="003864A2" w:rsidRDefault="00EC21C8">
      <w:pPr>
        <w:rPr>
          <w:rFonts w:ascii="Times New Roman" w:hAnsi="Times New Roman" w:cs="Times New Roman"/>
          <w:sz w:val="24"/>
          <w:szCs w:val="24"/>
          <w:lang w:val="en-US"/>
        </w:rPr>
      </w:pPr>
      <w:r w:rsidRPr="003864A2">
        <w:rPr>
          <w:rFonts w:ascii="Times New Roman" w:hAnsi="Times New Roman" w:cs="Times New Roman"/>
          <w:sz w:val="24"/>
          <w:szCs w:val="24"/>
          <w:lang w:val="en-US"/>
        </w:rPr>
        <w:t>Q2] C- restructure companies to increase cash flow.</w:t>
      </w:r>
    </w:p>
    <w:p w14:paraId="06ED48BE" w14:textId="1BA431E8" w:rsidR="00EC21C8" w:rsidRPr="003864A2" w:rsidRDefault="00EC21C8">
      <w:pPr>
        <w:rPr>
          <w:rFonts w:ascii="Times New Roman" w:hAnsi="Times New Roman" w:cs="Times New Roman"/>
          <w:sz w:val="24"/>
          <w:szCs w:val="24"/>
          <w:lang w:val="en-US"/>
        </w:rPr>
      </w:pPr>
      <w:r w:rsidRPr="003864A2">
        <w:rPr>
          <w:rFonts w:ascii="Times New Roman" w:hAnsi="Times New Roman" w:cs="Times New Roman"/>
          <w:sz w:val="24"/>
          <w:szCs w:val="24"/>
          <w:lang w:val="en-US"/>
        </w:rPr>
        <w:t xml:space="preserve">Q3] </w:t>
      </w:r>
      <w:r w:rsidR="00C50ECA" w:rsidRPr="003864A2">
        <w:rPr>
          <w:rFonts w:ascii="Times New Roman" w:hAnsi="Times New Roman" w:cs="Times New Roman"/>
          <w:sz w:val="24"/>
          <w:szCs w:val="24"/>
          <w:lang w:val="en-US"/>
        </w:rPr>
        <w:t>C. are not offered for sale to the general public.</w:t>
      </w:r>
    </w:p>
    <w:p w14:paraId="051B4297" w14:textId="72EAB8BD" w:rsidR="00C50ECA" w:rsidRPr="003864A2" w:rsidRDefault="00C50ECA">
      <w:pPr>
        <w:rPr>
          <w:rFonts w:ascii="Times New Roman" w:hAnsi="Times New Roman" w:cs="Times New Roman"/>
          <w:sz w:val="24"/>
          <w:szCs w:val="24"/>
          <w:lang w:val="en-US"/>
        </w:rPr>
      </w:pPr>
      <w:r w:rsidRPr="003864A2">
        <w:rPr>
          <w:rFonts w:ascii="Times New Roman" w:hAnsi="Times New Roman" w:cs="Times New Roman"/>
          <w:sz w:val="24"/>
          <w:szCs w:val="24"/>
          <w:lang w:val="en-US"/>
        </w:rPr>
        <w:t>Q4] C. car insurance company.</w:t>
      </w:r>
    </w:p>
    <w:p w14:paraId="31BE1A28" w14:textId="09FD6E64" w:rsidR="00C50ECA" w:rsidRPr="003864A2" w:rsidRDefault="00C50ECA">
      <w:pPr>
        <w:rPr>
          <w:rFonts w:ascii="Times New Roman" w:hAnsi="Times New Roman" w:cs="Times New Roman"/>
          <w:sz w:val="24"/>
          <w:szCs w:val="24"/>
          <w:lang w:val="en-US"/>
        </w:rPr>
      </w:pPr>
      <w:r w:rsidRPr="003864A2">
        <w:rPr>
          <w:rFonts w:ascii="Times New Roman" w:hAnsi="Times New Roman" w:cs="Times New Roman"/>
          <w:sz w:val="24"/>
          <w:szCs w:val="24"/>
          <w:lang w:val="en-US"/>
        </w:rPr>
        <w:t>Q5] A. an endowment.</w:t>
      </w:r>
    </w:p>
    <w:p w14:paraId="6EB177D7" w14:textId="294F54F7" w:rsidR="00C50ECA" w:rsidRPr="003864A2" w:rsidRDefault="00C50ECA">
      <w:pPr>
        <w:rPr>
          <w:rFonts w:ascii="Times New Roman" w:hAnsi="Times New Roman" w:cs="Times New Roman"/>
          <w:sz w:val="24"/>
          <w:szCs w:val="24"/>
          <w:lang w:val="en-US"/>
        </w:rPr>
      </w:pPr>
      <w:r w:rsidRPr="003864A2">
        <w:rPr>
          <w:rFonts w:ascii="Times New Roman" w:hAnsi="Times New Roman" w:cs="Times New Roman"/>
          <w:sz w:val="24"/>
          <w:szCs w:val="24"/>
          <w:lang w:val="en-US"/>
        </w:rPr>
        <w:t>Q6] C. Minimum total return requirement of 8%.</w:t>
      </w:r>
    </w:p>
    <w:p w14:paraId="0BAA67BB" w14:textId="551A2328" w:rsidR="00C50ECA" w:rsidRPr="003864A2" w:rsidRDefault="00C50ECA">
      <w:pPr>
        <w:rPr>
          <w:rFonts w:ascii="Times New Roman" w:hAnsi="Times New Roman" w:cs="Times New Roman"/>
          <w:sz w:val="24"/>
          <w:szCs w:val="24"/>
          <w:lang w:val="en-US"/>
        </w:rPr>
      </w:pPr>
      <w:r w:rsidRPr="003864A2">
        <w:rPr>
          <w:rFonts w:ascii="Times New Roman" w:hAnsi="Times New Roman" w:cs="Times New Roman"/>
          <w:sz w:val="24"/>
          <w:szCs w:val="24"/>
          <w:lang w:val="en-US"/>
        </w:rPr>
        <w:t>Q7] B. high within each asset class and low among asset classes.</w:t>
      </w:r>
    </w:p>
    <w:p w14:paraId="3CFFAD5E" w14:textId="35DCC830" w:rsidR="00C50ECA" w:rsidRPr="003864A2" w:rsidRDefault="00C50ECA">
      <w:pPr>
        <w:rPr>
          <w:rFonts w:ascii="Times New Roman" w:hAnsi="Times New Roman" w:cs="Times New Roman"/>
          <w:sz w:val="24"/>
          <w:szCs w:val="24"/>
          <w:lang w:val="en-US"/>
        </w:rPr>
      </w:pPr>
      <w:r w:rsidRPr="003864A2">
        <w:rPr>
          <w:rFonts w:ascii="Times New Roman" w:hAnsi="Times New Roman" w:cs="Times New Roman"/>
          <w:sz w:val="24"/>
          <w:szCs w:val="24"/>
          <w:lang w:val="en-US"/>
        </w:rPr>
        <w:t xml:space="preserve">Q8] </w:t>
      </w:r>
      <w:r w:rsidR="00577469" w:rsidRPr="003864A2">
        <w:rPr>
          <w:rFonts w:ascii="Times New Roman" w:hAnsi="Times New Roman" w:cs="Times New Roman"/>
          <w:sz w:val="24"/>
          <w:szCs w:val="24"/>
          <w:lang w:val="en-US"/>
        </w:rPr>
        <w:t>B. incorporate forecasts of future economic conditions.</w:t>
      </w:r>
    </w:p>
    <w:p w14:paraId="231E0F81" w14:textId="5FD61865" w:rsidR="00577469" w:rsidRPr="003864A2" w:rsidRDefault="00C50ECA">
      <w:pPr>
        <w:rPr>
          <w:rFonts w:ascii="Times New Roman" w:hAnsi="Times New Roman" w:cs="Times New Roman"/>
          <w:sz w:val="24"/>
          <w:szCs w:val="24"/>
          <w:shd w:val="clear" w:color="auto" w:fill="F4F7FC"/>
        </w:rPr>
      </w:pPr>
      <w:r w:rsidRPr="003864A2">
        <w:rPr>
          <w:rFonts w:ascii="Times New Roman" w:hAnsi="Times New Roman" w:cs="Times New Roman"/>
          <w:sz w:val="24"/>
          <w:szCs w:val="24"/>
          <w:lang w:val="en-US"/>
        </w:rPr>
        <w:t>Q9]</w:t>
      </w:r>
      <w:r w:rsidR="00577469" w:rsidRPr="003864A2">
        <w:rPr>
          <w:rFonts w:ascii="Times New Roman" w:hAnsi="Times New Roman" w:cs="Times New Roman"/>
          <w:sz w:val="24"/>
          <w:szCs w:val="24"/>
          <w:lang w:val="en-US"/>
        </w:rPr>
        <w:t xml:space="preserve">i) </w:t>
      </w:r>
      <w:r w:rsidR="00577469" w:rsidRPr="003864A2">
        <w:rPr>
          <w:rFonts w:ascii="Times New Roman" w:hAnsi="Times New Roman" w:cs="Times New Roman"/>
          <w:sz w:val="24"/>
          <w:szCs w:val="24"/>
          <w:shd w:val="clear" w:color="auto" w:fill="F4F7FC"/>
        </w:rPr>
        <w:t>The ability to bear risk is measured typically in terms of time horizon, expected income, and level of wealth relative to obligations whereas, Willingness to take on risk has a psychological component. </w:t>
      </w:r>
    </w:p>
    <w:p w14:paraId="3372C984" w14:textId="28D04309" w:rsidR="00577469" w:rsidRPr="003864A2" w:rsidRDefault="00577469">
      <w:pPr>
        <w:rPr>
          <w:rFonts w:ascii="Times New Roman" w:hAnsi="Times New Roman" w:cs="Times New Roman"/>
          <w:sz w:val="24"/>
          <w:szCs w:val="24"/>
          <w:shd w:val="clear" w:color="auto" w:fill="FFFFFF"/>
        </w:rPr>
      </w:pPr>
      <w:r w:rsidRPr="003864A2">
        <w:rPr>
          <w:rFonts w:ascii="Times New Roman" w:hAnsi="Times New Roman" w:cs="Times New Roman"/>
          <w:sz w:val="24"/>
          <w:szCs w:val="24"/>
          <w:shd w:val="clear" w:color="auto" w:fill="F4F7FC"/>
        </w:rPr>
        <w:t xml:space="preserve">ii) </w:t>
      </w:r>
      <w:r w:rsidRPr="003864A2">
        <w:rPr>
          <w:rFonts w:ascii="Times New Roman" w:hAnsi="Times New Roman" w:cs="Times New Roman"/>
          <w:sz w:val="24"/>
          <w:szCs w:val="24"/>
          <w:shd w:val="clear" w:color="auto" w:fill="FFFFFF"/>
        </w:rPr>
        <w:t>An Investor who has a high Risk Willingness, but a low Risk Ability should not make high risk investments. On the other hand, a person who has a high Risk Ability but low Risk Willingness can take the right risks.</w:t>
      </w:r>
    </w:p>
    <w:p w14:paraId="25A6C98F" w14:textId="2AF5510F" w:rsidR="00BE7A45" w:rsidRPr="003864A2" w:rsidRDefault="00BE7A45">
      <w:pPr>
        <w:rPr>
          <w:rFonts w:ascii="Times New Roman" w:hAnsi="Times New Roman" w:cs="Times New Roman"/>
          <w:sz w:val="24"/>
          <w:szCs w:val="24"/>
          <w:shd w:val="clear" w:color="auto" w:fill="FFFFFF"/>
        </w:rPr>
      </w:pPr>
      <w:r w:rsidRPr="003864A2">
        <w:rPr>
          <w:rFonts w:ascii="Times New Roman" w:hAnsi="Times New Roman" w:cs="Times New Roman"/>
          <w:sz w:val="24"/>
          <w:szCs w:val="24"/>
          <w:shd w:val="clear" w:color="auto" w:fill="FFFFFF"/>
        </w:rPr>
        <w:t>iii)  Your </w:t>
      </w:r>
      <w:r w:rsidRPr="003864A2">
        <w:rPr>
          <w:rStyle w:val="Strong"/>
          <w:rFonts w:ascii="Times New Roman" w:hAnsi="Times New Roman" w:cs="Times New Roman"/>
          <w:b w:val="0"/>
          <w:bCs w:val="0"/>
          <w:sz w:val="24"/>
          <w:szCs w:val="24"/>
          <w:shd w:val="clear" w:color="auto" w:fill="FFFFFF"/>
        </w:rPr>
        <w:t>ability</w:t>
      </w:r>
      <w:r w:rsidRPr="003864A2">
        <w:rPr>
          <w:rFonts w:ascii="Times New Roman" w:hAnsi="Times New Roman" w:cs="Times New Roman"/>
          <w:sz w:val="24"/>
          <w:szCs w:val="24"/>
          <w:shd w:val="clear" w:color="auto" w:fill="FFFFFF"/>
        </w:rPr>
        <w:t> to take on risks depends on your surplus. On the other hand, </w:t>
      </w:r>
      <w:r w:rsidRPr="003864A2">
        <w:rPr>
          <w:rStyle w:val="Strong"/>
          <w:rFonts w:ascii="Times New Roman" w:hAnsi="Times New Roman" w:cs="Times New Roman"/>
          <w:b w:val="0"/>
          <w:bCs w:val="0"/>
          <w:sz w:val="24"/>
          <w:szCs w:val="24"/>
          <w:shd w:val="clear" w:color="auto" w:fill="FFFFFF"/>
        </w:rPr>
        <w:t>willingness</w:t>
      </w:r>
      <w:r w:rsidRPr="003864A2">
        <w:rPr>
          <w:rFonts w:ascii="Times New Roman" w:hAnsi="Times New Roman" w:cs="Times New Roman"/>
          <w:sz w:val="24"/>
          <w:szCs w:val="24"/>
          <w:shd w:val="clear" w:color="auto" w:fill="FFFFFF"/>
        </w:rPr>
        <w:t> refers to the degree of investment risk one is comfortable taking. </w:t>
      </w:r>
    </w:p>
    <w:p w14:paraId="1232344D" w14:textId="77777777" w:rsidR="00BE7A45" w:rsidRPr="003864A2" w:rsidRDefault="00BE7A45" w:rsidP="00BE7A45">
      <w:pPr>
        <w:shd w:val="clear" w:color="auto" w:fill="FFFFFF"/>
        <w:spacing w:after="300" w:line="450" w:lineRule="atLeast"/>
        <w:rPr>
          <w:rFonts w:ascii="Times New Roman" w:eastAsia="Times New Roman" w:hAnsi="Times New Roman" w:cs="Times New Roman"/>
          <w:sz w:val="24"/>
          <w:szCs w:val="24"/>
          <w:lang w:eastAsia="en-IN"/>
        </w:rPr>
      </w:pPr>
      <w:r w:rsidRPr="003864A2">
        <w:rPr>
          <w:rFonts w:ascii="Times New Roman" w:eastAsia="Times New Roman" w:hAnsi="Times New Roman" w:cs="Times New Roman"/>
          <w:sz w:val="24"/>
          <w:szCs w:val="24"/>
          <w:lang w:eastAsia="en-IN"/>
        </w:rPr>
        <w:t>If you’re young:</w:t>
      </w:r>
    </w:p>
    <w:p w14:paraId="2B0D3B00" w14:textId="77777777" w:rsidR="00BE7A45" w:rsidRPr="003864A2" w:rsidRDefault="00BE7A45" w:rsidP="00BE7A45">
      <w:pPr>
        <w:numPr>
          <w:ilvl w:val="0"/>
          <w:numId w:val="1"/>
        </w:numPr>
        <w:shd w:val="clear" w:color="auto" w:fill="FFFFFF"/>
        <w:spacing w:before="100" w:beforeAutospacing="1" w:after="100" w:afterAutospacing="1" w:line="450" w:lineRule="atLeast"/>
        <w:rPr>
          <w:rFonts w:ascii="Times New Roman" w:eastAsia="Times New Roman" w:hAnsi="Times New Roman" w:cs="Times New Roman"/>
          <w:sz w:val="24"/>
          <w:szCs w:val="24"/>
          <w:lang w:eastAsia="en-IN"/>
        </w:rPr>
      </w:pPr>
      <w:r w:rsidRPr="003864A2">
        <w:rPr>
          <w:rFonts w:ascii="Times New Roman" w:eastAsia="Times New Roman" w:hAnsi="Times New Roman" w:cs="Times New Roman"/>
          <w:sz w:val="24"/>
          <w:szCs w:val="24"/>
          <w:lang w:eastAsia="en-IN"/>
        </w:rPr>
        <w:t>If you’re young and at the prime of your life, your time horizon to achieve your financial goals is much longer. Therefore, your ability to take risk is high. However, let’s say you, as a person, are pretty conservative in approaching investments – you are extremely risk-averse. With this, your willingness to take risk is low. Therefore, your risk tolerance is low.</w:t>
      </w:r>
    </w:p>
    <w:p w14:paraId="359D3E5A" w14:textId="77777777" w:rsidR="00BE7A45" w:rsidRPr="003864A2" w:rsidRDefault="00BE7A45" w:rsidP="00BE7A45">
      <w:pPr>
        <w:shd w:val="clear" w:color="auto" w:fill="FFFFFF"/>
        <w:spacing w:after="300" w:line="450" w:lineRule="atLeast"/>
        <w:rPr>
          <w:rFonts w:ascii="Times New Roman" w:eastAsia="Times New Roman" w:hAnsi="Times New Roman" w:cs="Times New Roman"/>
          <w:sz w:val="24"/>
          <w:szCs w:val="24"/>
          <w:lang w:eastAsia="en-IN"/>
        </w:rPr>
      </w:pPr>
      <w:r w:rsidRPr="003864A2">
        <w:rPr>
          <w:rFonts w:ascii="Times New Roman" w:eastAsia="Times New Roman" w:hAnsi="Times New Roman" w:cs="Times New Roman"/>
          <w:sz w:val="24"/>
          <w:szCs w:val="24"/>
          <w:lang w:eastAsia="en-IN"/>
        </w:rPr>
        <w:t>If you’re older:</w:t>
      </w:r>
    </w:p>
    <w:p w14:paraId="6C6DC3E1" w14:textId="77777777" w:rsidR="00BE7A45" w:rsidRPr="003864A2" w:rsidRDefault="00BE7A45" w:rsidP="00BE7A45">
      <w:pPr>
        <w:numPr>
          <w:ilvl w:val="0"/>
          <w:numId w:val="2"/>
        </w:numPr>
        <w:shd w:val="clear" w:color="auto" w:fill="FFFFFF"/>
        <w:spacing w:before="100" w:beforeAutospacing="1" w:after="100" w:afterAutospacing="1" w:line="450" w:lineRule="atLeast"/>
        <w:rPr>
          <w:rFonts w:ascii="Times New Roman" w:eastAsia="Times New Roman" w:hAnsi="Times New Roman" w:cs="Times New Roman"/>
          <w:sz w:val="24"/>
          <w:szCs w:val="24"/>
          <w:lang w:eastAsia="en-IN"/>
        </w:rPr>
      </w:pPr>
      <w:r w:rsidRPr="003864A2">
        <w:rPr>
          <w:rFonts w:ascii="Times New Roman" w:eastAsia="Times New Roman" w:hAnsi="Times New Roman" w:cs="Times New Roman"/>
          <w:sz w:val="24"/>
          <w:szCs w:val="24"/>
          <w:lang w:eastAsia="en-IN"/>
        </w:rPr>
        <w:t xml:space="preserve">Say you’re already close to retirement – your time horizon is relatively shorter. Your ability to take risk becomes lower as you grow older. However, your personality is </w:t>
      </w:r>
      <w:r w:rsidRPr="003864A2">
        <w:rPr>
          <w:rFonts w:ascii="Times New Roman" w:eastAsia="Times New Roman" w:hAnsi="Times New Roman" w:cs="Times New Roman"/>
          <w:sz w:val="24"/>
          <w:szCs w:val="24"/>
          <w:lang w:eastAsia="en-IN"/>
        </w:rPr>
        <w:lastRenderedPageBreak/>
        <w:t>aggressive and you tend to be a risk-taker when it comes to investing. Your willingness to take risks is high. In this case, your overall risk tolerance is low. You might be willing, but you’re not able to take much risk anymore.</w:t>
      </w:r>
    </w:p>
    <w:p w14:paraId="5A229E1B" w14:textId="77777777" w:rsidR="00BE7A45" w:rsidRPr="003864A2" w:rsidRDefault="00BE7A45">
      <w:pPr>
        <w:rPr>
          <w:rFonts w:ascii="Times New Roman" w:hAnsi="Times New Roman" w:cs="Times New Roman"/>
          <w:sz w:val="24"/>
          <w:szCs w:val="24"/>
          <w:shd w:val="clear" w:color="auto" w:fill="F4F7FC"/>
        </w:rPr>
      </w:pPr>
    </w:p>
    <w:p w14:paraId="15348AE3" w14:textId="5B4668E2" w:rsidR="00C50ECA" w:rsidRPr="003864A2" w:rsidRDefault="00C50ECA">
      <w:pPr>
        <w:rPr>
          <w:rFonts w:ascii="Times New Roman" w:hAnsi="Times New Roman" w:cs="Times New Roman"/>
          <w:sz w:val="24"/>
          <w:szCs w:val="24"/>
          <w:lang w:val="en-US"/>
        </w:rPr>
      </w:pPr>
      <w:r w:rsidRPr="003864A2">
        <w:rPr>
          <w:rFonts w:ascii="Times New Roman" w:hAnsi="Times New Roman" w:cs="Times New Roman"/>
          <w:sz w:val="24"/>
          <w:szCs w:val="24"/>
          <w:lang w:val="en-US"/>
        </w:rPr>
        <w:t>Q10]</w:t>
      </w:r>
      <w:r w:rsidR="00BE7A45" w:rsidRPr="003864A2">
        <w:rPr>
          <w:rFonts w:ascii="Times New Roman" w:hAnsi="Times New Roman" w:cs="Times New Roman"/>
          <w:sz w:val="24"/>
          <w:szCs w:val="24"/>
          <w:lang w:val="en-US"/>
        </w:rPr>
        <w:t xml:space="preserve"> </w:t>
      </w:r>
      <w:r w:rsidR="00BE7A45" w:rsidRPr="003864A2">
        <w:rPr>
          <w:rFonts w:ascii="Times New Roman" w:hAnsi="Times New Roman" w:cs="Times New Roman"/>
          <w:sz w:val="24"/>
          <w:szCs w:val="24"/>
          <w:lang w:val="en-US"/>
        </w:rPr>
        <w:tab/>
      </w:r>
      <w:r w:rsidR="00223A0D" w:rsidRPr="003864A2">
        <w:rPr>
          <w:rFonts w:ascii="Times New Roman" w:hAnsi="Times New Roman" w:cs="Times New Roman"/>
          <w:sz w:val="24"/>
          <w:szCs w:val="24"/>
          <w:lang w:val="en-US"/>
        </w:rPr>
        <w:t>The components of an IPS are:</w:t>
      </w:r>
    </w:p>
    <w:p w14:paraId="6C2BFBB4" w14:textId="77777777" w:rsidR="00531668" w:rsidRPr="003864A2" w:rsidRDefault="00531668">
      <w:pPr>
        <w:rPr>
          <w:rFonts w:ascii="Times New Roman" w:hAnsi="Times New Roman" w:cs="Times New Roman"/>
          <w:sz w:val="24"/>
          <w:szCs w:val="24"/>
        </w:rPr>
      </w:pPr>
      <w:r w:rsidRPr="003864A2">
        <w:rPr>
          <w:rFonts w:ascii="Times New Roman" w:hAnsi="Times New Roman" w:cs="Times New Roman"/>
          <w:sz w:val="24"/>
          <w:szCs w:val="24"/>
        </w:rPr>
        <w:t>■ Introduction. This section describes the client.</w:t>
      </w:r>
    </w:p>
    <w:p w14:paraId="39CB770F" w14:textId="04DB4D2A" w:rsidR="00531668" w:rsidRPr="003864A2" w:rsidRDefault="00531668">
      <w:pPr>
        <w:rPr>
          <w:rFonts w:ascii="Times New Roman" w:hAnsi="Times New Roman" w:cs="Times New Roman"/>
          <w:sz w:val="24"/>
          <w:szCs w:val="24"/>
        </w:rPr>
      </w:pPr>
      <w:r w:rsidRPr="003864A2">
        <w:rPr>
          <w:rFonts w:ascii="Times New Roman" w:hAnsi="Times New Roman" w:cs="Times New Roman"/>
          <w:sz w:val="24"/>
          <w:szCs w:val="24"/>
        </w:rPr>
        <w:t xml:space="preserve"> ■ Statement of Purpose. This section states the purpose of the IPS.</w:t>
      </w:r>
    </w:p>
    <w:p w14:paraId="4922D726" w14:textId="77777777" w:rsidR="00531668" w:rsidRPr="003864A2" w:rsidRDefault="00531668">
      <w:pPr>
        <w:rPr>
          <w:rFonts w:ascii="Times New Roman" w:hAnsi="Times New Roman" w:cs="Times New Roman"/>
          <w:sz w:val="24"/>
          <w:szCs w:val="24"/>
        </w:rPr>
      </w:pPr>
      <w:r w:rsidRPr="003864A2">
        <w:rPr>
          <w:rFonts w:ascii="Times New Roman" w:hAnsi="Times New Roman" w:cs="Times New Roman"/>
          <w:sz w:val="24"/>
          <w:szCs w:val="24"/>
        </w:rPr>
        <w:t xml:space="preserve"> ■ Statement of Duties and Responsibilities. This section details the duties and responsibilities of the client, the custodian of the client’s assets, and the investment managers. </w:t>
      </w:r>
    </w:p>
    <w:p w14:paraId="3FD35707" w14:textId="77777777" w:rsidR="00531668" w:rsidRPr="003864A2" w:rsidRDefault="00531668">
      <w:pPr>
        <w:rPr>
          <w:rFonts w:ascii="Times New Roman" w:hAnsi="Times New Roman" w:cs="Times New Roman"/>
          <w:sz w:val="24"/>
          <w:szCs w:val="24"/>
        </w:rPr>
      </w:pPr>
      <w:r w:rsidRPr="003864A2">
        <w:rPr>
          <w:rFonts w:ascii="Times New Roman" w:hAnsi="Times New Roman" w:cs="Times New Roman"/>
          <w:sz w:val="24"/>
          <w:szCs w:val="24"/>
        </w:rPr>
        <w:t>■ Procedures. This section explains the steps to take to keep the IPS current and the procedures to follow to respond to various contingencies.</w:t>
      </w:r>
    </w:p>
    <w:p w14:paraId="0B8AA8E2" w14:textId="77777777" w:rsidR="00531668" w:rsidRPr="003864A2" w:rsidRDefault="00531668">
      <w:pPr>
        <w:rPr>
          <w:rFonts w:ascii="Times New Roman" w:hAnsi="Times New Roman" w:cs="Times New Roman"/>
          <w:sz w:val="24"/>
          <w:szCs w:val="24"/>
        </w:rPr>
      </w:pPr>
      <w:r w:rsidRPr="003864A2">
        <w:rPr>
          <w:rFonts w:ascii="Times New Roman" w:hAnsi="Times New Roman" w:cs="Times New Roman"/>
          <w:sz w:val="24"/>
          <w:szCs w:val="24"/>
        </w:rPr>
        <w:t xml:space="preserve"> ■ Investment Objectives. This section explains the client’s objectives in investing.</w:t>
      </w:r>
    </w:p>
    <w:p w14:paraId="294EA1E4" w14:textId="77777777" w:rsidR="00531668" w:rsidRPr="003864A2" w:rsidRDefault="00531668">
      <w:pPr>
        <w:rPr>
          <w:rFonts w:ascii="Times New Roman" w:hAnsi="Times New Roman" w:cs="Times New Roman"/>
          <w:sz w:val="24"/>
          <w:szCs w:val="24"/>
        </w:rPr>
      </w:pPr>
      <w:r w:rsidRPr="003864A2">
        <w:rPr>
          <w:rFonts w:ascii="Times New Roman" w:hAnsi="Times New Roman" w:cs="Times New Roman"/>
          <w:sz w:val="24"/>
          <w:szCs w:val="24"/>
        </w:rPr>
        <w:t xml:space="preserve"> ■ Investment Constraints. This section presents the factors that constrain the client in seeking to achieve the investment objectives.</w:t>
      </w:r>
    </w:p>
    <w:p w14:paraId="373297EB" w14:textId="6E64121D" w:rsidR="00223A0D" w:rsidRPr="003864A2" w:rsidRDefault="00531668">
      <w:pPr>
        <w:rPr>
          <w:rFonts w:ascii="Times New Roman" w:hAnsi="Times New Roman" w:cs="Times New Roman"/>
          <w:sz w:val="24"/>
          <w:szCs w:val="24"/>
        </w:rPr>
      </w:pPr>
      <w:r w:rsidRPr="003864A2">
        <w:rPr>
          <w:rFonts w:ascii="Times New Roman" w:hAnsi="Times New Roman" w:cs="Times New Roman"/>
          <w:sz w:val="24"/>
          <w:szCs w:val="24"/>
        </w:rPr>
        <w:t xml:space="preserve"> ■ Investment Guidelines. This section provides information about how policy should be executed (e.g., on the permissible use of leverage and derivatives) and on specific types of assets excluded from investment, if any.</w:t>
      </w:r>
    </w:p>
    <w:p w14:paraId="1017C7C4" w14:textId="72972A90" w:rsidR="00531668" w:rsidRPr="003864A2" w:rsidRDefault="00531668">
      <w:pPr>
        <w:rPr>
          <w:rFonts w:ascii="Times New Roman" w:hAnsi="Times New Roman" w:cs="Times New Roman"/>
          <w:sz w:val="24"/>
          <w:szCs w:val="24"/>
        </w:rPr>
      </w:pPr>
      <w:r w:rsidRPr="003864A2">
        <w:rPr>
          <w:rFonts w:ascii="Times New Roman" w:hAnsi="Times New Roman" w:cs="Times New Roman"/>
          <w:sz w:val="24"/>
          <w:szCs w:val="24"/>
        </w:rPr>
        <w:t>■ Evaluation and Review. This section provides guidance on obtaining feedback on investment results.</w:t>
      </w:r>
    </w:p>
    <w:p w14:paraId="2DBE9EB5" w14:textId="77777777" w:rsidR="00531668" w:rsidRPr="003864A2" w:rsidRDefault="00531668">
      <w:pPr>
        <w:rPr>
          <w:rFonts w:ascii="Times New Roman" w:hAnsi="Times New Roman" w:cs="Times New Roman"/>
          <w:sz w:val="24"/>
          <w:szCs w:val="24"/>
          <w:lang w:val="en-US"/>
        </w:rPr>
      </w:pPr>
    </w:p>
    <w:p w14:paraId="324A0C13" w14:textId="77777777" w:rsidR="00223A0D" w:rsidRPr="003864A2" w:rsidRDefault="00223A0D" w:rsidP="00223A0D">
      <w:pPr>
        <w:pStyle w:val="Heading2"/>
        <w:shd w:val="clear" w:color="auto" w:fill="F4F7FC"/>
        <w:spacing w:before="0"/>
        <w:rPr>
          <w:rFonts w:ascii="Times New Roman" w:hAnsi="Times New Roman" w:cs="Times New Roman"/>
          <w:color w:val="auto"/>
          <w:sz w:val="24"/>
          <w:szCs w:val="24"/>
        </w:rPr>
      </w:pPr>
      <w:r w:rsidRPr="003864A2">
        <w:rPr>
          <w:rFonts w:ascii="Times New Roman" w:hAnsi="Times New Roman" w:cs="Times New Roman"/>
          <w:color w:val="auto"/>
          <w:sz w:val="24"/>
          <w:szCs w:val="24"/>
          <w:lang w:val="en-US"/>
        </w:rPr>
        <w:t xml:space="preserve">Q11] </w:t>
      </w:r>
      <w:r w:rsidRPr="003864A2">
        <w:rPr>
          <w:rStyle w:val="Strong"/>
          <w:rFonts w:ascii="Times New Roman" w:hAnsi="Times New Roman" w:cs="Times New Roman"/>
          <w:b w:val="0"/>
          <w:bCs w:val="0"/>
          <w:color w:val="auto"/>
          <w:sz w:val="24"/>
          <w:szCs w:val="24"/>
        </w:rPr>
        <w:t>Liquidity</w:t>
      </w:r>
    </w:p>
    <w:p w14:paraId="5DBE0380" w14:textId="77777777" w:rsidR="00223A0D" w:rsidRPr="003864A2" w:rsidRDefault="00223A0D" w:rsidP="00223A0D">
      <w:pPr>
        <w:pStyle w:val="NormalWeb"/>
        <w:shd w:val="clear" w:color="auto" w:fill="F4F7FC"/>
        <w:spacing w:before="0" w:beforeAutospacing="0"/>
      </w:pPr>
      <w:r w:rsidRPr="003864A2">
        <w:t>The IPS should detail the likely withdrawal of funds from the portfolio. For institutions, there could be rules around this, like spending requirements in the case of endowment funds. When a client has a known liquidity requirement, the portfolio manager should allocate a portion of the portfolio to cover this liability by ensuring that the allocated assets can quickly be converted to cash whenever the obligation needs to be met. Allocating to a bond that has a maturity profile which matches the liability time horizon is an often-used strategy.</w:t>
      </w:r>
    </w:p>
    <w:p w14:paraId="5D993418" w14:textId="77777777" w:rsidR="00223A0D" w:rsidRPr="003864A2" w:rsidRDefault="00223A0D" w:rsidP="00223A0D">
      <w:pPr>
        <w:pStyle w:val="Heading2"/>
        <w:shd w:val="clear" w:color="auto" w:fill="F4F7FC"/>
        <w:spacing w:before="0"/>
        <w:rPr>
          <w:rFonts w:ascii="Times New Roman" w:hAnsi="Times New Roman" w:cs="Times New Roman"/>
          <w:color w:val="auto"/>
          <w:sz w:val="24"/>
          <w:szCs w:val="24"/>
        </w:rPr>
      </w:pPr>
      <w:r w:rsidRPr="003864A2">
        <w:rPr>
          <w:rStyle w:val="Strong"/>
          <w:rFonts w:ascii="Times New Roman" w:hAnsi="Times New Roman" w:cs="Times New Roman"/>
          <w:b w:val="0"/>
          <w:bCs w:val="0"/>
          <w:color w:val="auto"/>
          <w:sz w:val="24"/>
          <w:szCs w:val="24"/>
        </w:rPr>
        <w:t>Time Horizon</w:t>
      </w:r>
    </w:p>
    <w:p w14:paraId="59705A74" w14:textId="77777777" w:rsidR="00223A0D" w:rsidRPr="003864A2" w:rsidRDefault="00223A0D" w:rsidP="00223A0D">
      <w:pPr>
        <w:pStyle w:val="NormalWeb"/>
        <w:shd w:val="clear" w:color="auto" w:fill="F4F7FC"/>
        <w:spacing w:before="0" w:beforeAutospacing="0"/>
      </w:pPr>
      <w:r w:rsidRPr="003864A2">
        <w:t>The IPS should state the time horizon over which the client is investing. Illiquid or risky assets may be unsuitable for an investor with a short time horizon as they may not have sufficient time to recover from investment losses.</w:t>
      </w:r>
    </w:p>
    <w:p w14:paraId="464AF6E5" w14:textId="77777777" w:rsidR="00223A0D" w:rsidRPr="003864A2" w:rsidRDefault="00223A0D" w:rsidP="00223A0D">
      <w:pPr>
        <w:pStyle w:val="Heading2"/>
        <w:shd w:val="clear" w:color="auto" w:fill="F4F7FC"/>
        <w:spacing w:before="0"/>
        <w:rPr>
          <w:rFonts w:ascii="Times New Roman" w:hAnsi="Times New Roman" w:cs="Times New Roman"/>
          <w:color w:val="auto"/>
          <w:sz w:val="24"/>
          <w:szCs w:val="24"/>
        </w:rPr>
      </w:pPr>
      <w:r w:rsidRPr="003864A2">
        <w:rPr>
          <w:rStyle w:val="Strong"/>
          <w:rFonts w:ascii="Times New Roman" w:hAnsi="Times New Roman" w:cs="Times New Roman"/>
          <w:b w:val="0"/>
          <w:bCs w:val="0"/>
          <w:color w:val="auto"/>
          <w:sz w:val="24"/>
          <w:szCs w:val="24"/>
        </w:rPr>
        <w:t>Tax Concerns</w:t>
      </w:r>
    </w:p>
    <w:p w14:paraId="797744E5" w14:textId="77777777" w:rsidR="00223A0D" w:rsidRPr="003864A2" w:rsidRDefault="00223A0D" w:rsidP="00223A0D">
      <w:pPr>
        <w:pStyle w:val="NormalWeb"/>
        <w:shd w:val="clear" w:color="auto" w:fill="F4F7FC"/>
        <w:spacing w:before="0" w:beforeAutospacing="0"/>
      </w:pPr>
      <w:r w:rsidRPr="003864A2">
        <w:t xml:space="preserve">Different investors will have different tax status. The tax status should be stated in the IPS. Often, tax regimes will treat capital gains and income differently. Capital gains may be subject to a lower tax rate payable only when they are realized rather than when they are received. In this instance, there is a time value of money benefit to deferring tax. A taxable investor may, for example, wish to hold a portfolio which emphasizes capital gains over </w:t>
      </w:r>
      <w:r w:rsidRPr="003864A2">
        <w:lastRenderedPageBreak/>
        <w:t>dividend income. A tax-exempt investor, on the other hand, may be relatively indifferent to the two.</w:t>
      </w:r>
    </w:p>
    <w:p w14:paraId="6F9AF62E" w14:textId="77777777" w:rsidR="00223A0D" w:rsidRPr="003864A2" w:rsidRDefault="00223A0D" w:rsidP="00223A0D">
      <w:pPr>
        <w:pStyle w:val="Heading2"/>
        <w:shd w:val="clear" w:color="auto" w:fill="F4F7FC"/>
        <w:spacing w:before="0"/>
        <w:rPr>
          <w:rFonts w:ascii="Times New Roman" w:hAnsi="Times New Roman" w:cs="Times New Roman"/>
          <w:color w:val="auto"/>
          <w:sz w:val="24"/>
          <w:szCs w:val="24"/>
        </w:rPr>
      </w:pPr>
      <w:r w:rsidRPr="003864A2">
        <w:rPr>
          <w:rStyle w:val="Strong"/>
          <w:rFonts w:ascii="Times New Roman" w:hAnsi="Times New Roman" w:cs="Times New Roman"/>
          <w:b w:val="0"/>
          <w:bCs w:val="0"/>
          <w:color w:val="auto"/>
          <w:sz w:val="24"/>
          <w:szCs w:val="24"/>
        </w:rPr>
        <w:t>Legal and Regulatory Factors</w:t>
      </w:r>
    </w:p>
    <w:p w14:paraId="26E33F9E" w14:textId="77777777" w:rsidR="00223A0D" w:rsidRPr="003864A2" w:rsidRDefault="00223A0D" w:rsidP="00223A0D">
      <w:pPr>
        <w:pStyle w:val="NormalWeb"/>
        <w:shd w:val="clear" w:color="auto" w:fill="F4F7FC"/>
        <w:spacing w:before="0" w:beforeAutospacing="0"/>
      </w:pPr>
      <w:r w:rsidRPr="003864A2">
        <w:t>The IPS should outline any applicable legal or regulatory restrictions. In some countries, pension funds are subject to restrictions on their portfolio composition. In the case of individuals, they may have access to privileged information on a particular listed company by virtue of directorship and as such are restricted from trading on that company ahead of the release of company financial results.</w:t>
      </w:r>
    </w:p>
    <w:p w14:paraId="770C6271" w14:textId="77777777" w:rsidR="00223A0D" w:rsidRPr="003864A2" w:rsidRDefault="00223A0D" w:rsidP="00223A0D">
      <w:pPr>
        <w:pStyle w:val="Heading2"/>
        <w:shd w:val="clear" w:color="auto" w:fill="F4F7FC"/>
        <w:spacing w:before="0"/>
        <w:rPr>
          <w:rFonts w:ascii="Times New Roman" w:hAnsi="Times New Roman" w:cs="Times New Roman"/>
          <w:color w:val="auto"/>
          <w:sz w:val="24"/>
          <w:szCs w:val="24"/>
        </w:rPr>
      </w:pPr>
      <w:r w:rsidRPr="003864A2">
        <w:rPr>
          <w:rStyle w:val="Strong"/>
          <w:rFonts w:ascii="Times New Roman" w:hAnsi="Times New Roman" w:cs="Times New Roman"/>
          <w:b w:val="0"/>
          <w:bCs w:val="0"/>
          <w:color w:val="auto"/>
          <w:sz w:val="24"/>
          <w:szCs w:val="24"/>
        </w:rPr>
        <w:t>Unique Circumstances</w:t>
      </w:r>
    </w:p>
    <w:p w14:paraId="31298548" w14:textId="77777777" w:rsidR="00223A0D" w:rsidRPr="003864A2" w:rsidRDefault="00223A0D" w:rsidP="00223A0D">
      <w:pPr>
        <w:pStyle w:val="NormalWeb"/>
        <w:shd w:val="clear" w:color="auto" w:fill="F4F7FC"/>
        <w:spacing w:before="0" w:beforeAutospacing="0"/>
      </w:pPr>
      <w:r w:rsidRPr="003864A2">
        <w:t>The IPS should also cover any unique circumstances that are applicable. A client may have religious or ethical objections to investing in particular stocks or sectors. These types of considerations are often referred to as ESG (environment, social, governance) factors and investing in accordance with ESG factors is referred to as SRI (socially responsible investing).</w:t>
      </w:r>
    </w:p>
    <w:p w14:paraId="44EE9877" w14:textId="470EEC1D" w:rsidR="00223A0D" w:rsidRPr="003864A2" w:rsidRDefault="00223A0D" w:rsidP="00223A0D">
      <w:pPr>
        <w:pStyle w:val="NormalWeb"/>
        <w:shd w:val="clear" w:color="auto" w:fill="F4F7FC"/>
        <w:spacing w:before="0" w:beforeAutospacing="0"/>
      </w:pPr>
      <w:r w:rsidRPr="003864A2">
        <w:t xml:space="preserve">Q12] </w:t>
      </w:r>
      <w:r w:rsidR="00634A38" w:rsidRPr="003864A2">
        <w:t>i) The oldest form is negative screening (or exclusionary screening), which refers to the practice of excluding certain sectors or excluding companies that deviate from accepted standards or norms. Exclusion based on values, such as exclusion of gambling, alcohol and tobacco-related companies, relate to an investor’s moral or ethical beliefs in a company’s or sector’s business. Exclusion based on standards and norms refers to business practices that an investor does not want to be associated with from either a reputational or financial risk point of view. These practices may include harmful production processes, corruption and land ownership issues.</w:t>
      </w:r>
    </w:p>
    <w:p w14:paraId="2284E9BB" w14:textId="30D00D7F" w:rsidR="00634A38" w:rsidRPr="003864A2" w:rsidRDefault="00634A38" w:rsidP="00223A0D">
      <w:pPr>
        <w:pStyle w:val="NormalWeb"/>
        <w:shd w:val="clear" w:color="auto" w:fill="F4F7FC"/>
        <w:spacing w:before="0" w:beforeAutospacing="0"/>
      </w:pPr>
      <w:r w:rsidRPr="003864A2">
        <w:t>ii) Another common approach is best-in-class, whereby investors seek to identify companies within an industry that rank (or score) most favourably based on ESG considerations. Under this approach, investor portfolios would include only securities of those companies that exceed a certain threshold when evaluating ESG considerations. Shareholder engagement (sometimes call active ownership) is the practice of entering into a dialogue with companies (including with respect to ESG issues).</w:t>
      </w:r>
    </w:p>
    <w:p w14:paraId="0FA4EDAE" w14:textId="3DBA24F9" w:rsidR="00634A38" w:rsidRPr="003864A2" w:rsidRDefault="00634A38" w:rsidP="00223A0D">
      <w:pPr>
        <w:pStyle w:val="NormalWeb"/>
        <w:shd w:val="clear" w:color="auto" w:fill="F4F7FC"/>
        <w:spacing w:before="0" w:beforeAutospacing="0"/>
      </w:pPr>
      <w:r w:rsidRPr="003864A2">
        <w:t>iii) While exclusionary screening and best-in-class eliminate investment options, thematic investing and impact investing focus on investment in objectives, themes, and trends that relate positively to ESG issues. An example of a thematic investment (i.e., related to a business theme or societal trend) that considers ESG would be investments in alternative energy providers. In impact investing, an investment is selected primarily on its expected social or environmental benefits with measurable investment returns.</w:t>
      </w:r>
    </w:p>
    <w:p w14:paraId="205537F3" w14:textId="7171A611" w:rsidR="00634A38" w:rsidRPr="003864A2" w:rsidRDefault="00634A38" w:rsidP="00223A0D">
      <w:pPr>
        <w:pStyle w:val="NormalWeb"/>
        <w:shd w:val="clear" w:color="auto" w:fill="F4F7FC"/>
        <w:spacing w:before="0" w:beforeAutospacing="0"/>
      </w:pPr>
      <w:r w:rsidRPr="003864A2">
        <w:t>iv) The final ESG implementation approach, ESG integration, refers to the integration of qualitative and quantitative ESG factors into traditional security and industry analysis. The focus of ESG integration is to identify risks and opportunities arising from ESG factors and to determine whether a company is properly managing its ESG resources in accordance with a sustainable business model. Examples of ESG integration may include potential earnings per share dilution due to a company’s overly generous options program for key executives; a company’s poor environmental safety or labour standards potentially resulting in a large future liability that affects the company’s profitability and financial condition; or a company’s technology leadership position in a certain production process technology may give a company a competitive advantage once new regulations come into place</w:t>
      </w:r>
    </w:p>
    <w:p w14:paraId="0AB8DD1D" w14:textId="702EA9FE" w:rsidR="00223A0D" w:rsidRPr="003864A2" w:rsidRDefault="0010079C">
      <w:pPr>
        <w:rPr>
          <w:rFonts w:ascii="Times New Roman" w:hAnsi="Times New Roman" w:cs="Times New Roman"/>
          <w:sz w:val="24"/>
          <w:szCs w:val="24"/>
          <w:lang w:val="en-US"/>
        </w:rPr>
      </w:pPr>
      <w:r w:rsidRPr="003864A2">
        <w:rPr>
          <w:rFonts w:ascii="Times New Roman" w:hAnsi="Times New Roman" w:cs="Times New Roman"/>
          <w:sz w:val="24"/>
          <w:szCs w:val="24"/>
          <w:lang w:val="en-US"/>
        </w:rPr>
        <w:lastRenderedPageBreak/>
        <w:t>Q13]</w:t>
      </w:r>
    </w:p>
    <w:p w14:paraId="52D23EBE" w14:textId="77777777" w:rsidR="0010079C" w:rsidRPr="003864A2" w:rsidRDefault="0010079C">
      <w:pPr>
        <w:rPr>
          <w:rFonts w:ascii="Times New Roman" w:hAnsi="Times New Roman" w:cs="Times New Roman"/>
          <w:sz w:val="24"/>
          <w:szCs w:val="24"/>
          <w:lang w:val="en-US"/>
        </w:rPr>
      </w:pPr>
      <w:r w:rsidRPr="003864A2">
        <w:rPr>
          <w:rFonts w:ascii="Times New Roman" w:hAnsi="Times New Roman" w:cs="Times New Roman"/>
          <w:sz w:val="24"/>
          <w:szCs w:val="24"/>
          <w:lang w:val="en-US"/>
        </w:rPr>
        <w:t xml:space="preserve">Q14] </w:t>
      </w:r>
    </w:p>
    <w:tbl>
      <w:tblPr>
        <w:tblStyle w:val="TableGrid"/>
        <w:tblW w:w="9209" w:type="dxa"/>
        <w:tblLook w:val="04A0" w:firstRow="1" w:lastRow="0" w:firstColumn="1" w:lastColumn="0" w:noHBand="0" w:noVBand="1"/>
      </w:tblPr>
      <w:tblGrid>
        <w:gridCol w:w="1403"/>
        <w:gridCol w:w="1840"/>
        <w:gridCol w:w="2374"/>
        <w:gridCol w:w="1823"/>
        <w:gridCol w:w="1769"/>
      </w:tblGrid>
      <w:tr w:rsidR="003864A2" w:rsidRPr="003864A2" w14:paraId="646419A8" w14:textId="77777777" w:rsidTr="00201AA9">
        <w:trPr>
          <w:trHeight w:val="308"/>
        </w:trPr>
        <w:tc>
          <w:tcPr>
            <w:tcW w:w="1331" w:type="dxa"/>
          </w:tcPr>
          <w:p w14:paraId="1D2B99E4" w14:textId="06C231C8" w:rsidR="0010079C" w:rsidRPr="003864A2" w:rsidRDefault="0010079C">
            <w:pPr>
              <w:rPr>
                <w:rFonts w:ascii="Times New Roman" w:hAnsi="Times New Roman" w:cs="Times New Roman"/>
                <w:sz w:val="24"/>
                <w:szCs w:val="24"/>
                <w:lang w:val="en-US"/>
              </w:rPr>
            </w:pPr>
            <w:r w:rsidRPr="003864A2">
              <w:rPr>
                <w:rFonts w:ascii="Times New Roman" w:hAnsi="Times New Roman" w:cs="Times New Roman"/>
                <w:sz w:val="24"/>
                <w:szCs w:val="24"/>
                <w:lang w:val="en-US"/>
              </w:rPr>
              <w:t>INVESTOR</w:t>
            </w:r>
          </w:p>
        </w:tc>
        <w:tc>
          <w:tcPr>
            <w:tcW w:w="1850" w:type="dxa"/>
          </w:tcPr>
          <w:p w14:paraId="2CBB8A4F" w14:textId="421DA88A" w:rsidR="0010079C" w:rsidRPr="003864A2" w:rsidRDefault="0010079C">
            <w:pPr>
              <w:rPr>
                <w:rFonts w:ascii="Times New Roman" w:hAnsi="Times New Roman" w:cs="Times New Roman"/>
                <w:sz w:val="24"/>
                <w:szCs w:val="24"/>
                <w:lang w:val="en-US"/>
              </w:rPr>
            </w:pPr>
            <w:r w:rsidRPr="003864A2">
              <w:rPr>
                <w:rFonts w:ascii="Times New Roman" w:hAnsi="Times New Roman" w:cs="Times New Roman"/>
                <w:sz w:val="24"/>
                <w:szCs w:val="24"/>
                <w:lang w:val="en-US"/>
              </w:rPr>
              <w:t>RISK TOLERANCE</w:t>
            </w:r>
          </w:p>
        </w:tc>
        <w:tc>
          <w:tcPr>
            <w:tcW w:w="2404" w:type="dxa"/>
          </w:tcPr>
          <w:p w14:paraId="31B5C14E" w14:textId="1654B855" w:rsidR="0010079C" w:rsidRPr="003864A2" w:rsidRDefault="00201AA9">
            <w:pPr>
              <w:rPr>
                <w:rFonts w:ascii="Times New Roman" w:hAnsi="Times New Roman" w:cs="Times New Roman"/>
                <w:sz w:val="24"/>
                <w:szCs w:val="24"/>
                <w:lang w:val="en-US"/>
              </w:rPr>
            </w:pPr>
            <w:r w:rsidRPr="003864A2">
              <w:rPr>
                <w:rFonts w:ascii="Times New Roman" w:hAnsi="Times New Roman" w:cs="Times New Roman"/>
                <w:sz w:val="24"/>
                <w:szCs w:val="24"/>
                <w:lang w:val="en-US"/>
              </w:rPr>
              <w:t>INVESTMENT HORIZON</w:t>
            </w:r>
          </w:p>
        </w:tc>
        <w:tc>
          <w:tcPr>
            <w:tcW w:w="1841" w:type="dxa"/>
          </w:tcPr>
          <w:p w14:paraId="24C5A78D" w14:textId="1FB086A6" w:rsidR="0010079C" w:rsidRPr="003864A2" w:rsidRDefault="00201AA9">
            <w:pPr>
              <w:rPr>
                <w:rFonts w:ascii="Times New Roman" w:hAnsi="Times New Roman" w:cs="Times New Roman"/>
                <w:sz w:val="24"/>
                <w:szCs w:val="24"/>
                <w:lang w:val="en-US"/>
              </w:rPr>
            </w:pPr>
            <w:r w:rsidRPr="003864A2">
              <w:rPr>
                <w:rFonts w:ascii="Times New Roman" w:hAnsi="Times New Roman" w:cs="Times New Roman"/>
                <w:sz w:val="24"/>
                <w:szCs w:val="24"/>
                <w:lang w:val="en-US"/>
              </w:rPr>
              <w:t>LIQUIDITY NEEDS</w:t>
            </w:r>
          </w:p>
        </w:tc>
        <w:tc>
          <w:tcPr>
            <w:tcW w:w="1783" w:type="dxa"/>
          </w:tcPr>
          <w:p w14:paraId="4DB99A5F" w14:textId="0BA732FC" w:rsidR="0010079C" w:rsidRPr="003864A2" w:rsidRDefault="00201AA9">
            <w:pPr>
              <w:rPr>
                <w:rFonts w:ascii="Times New Roman" w:hAnsi="Times New Roman" w:cs="Times New Roman"/>
                <w:sz w:val="24"/>
                <w:szCs w:val="24"/>
                <w:lang w:val="en-US"/>
              </w:rPr>
            </w:pPr>
            <w:r w:rsidRPr="003864A2">
              <w:rPr>
                <w:rFonts w:ascii="Times New Roman" w:hAnsi="Times New Roman" w:cs="Times New Roman"/>
                <w:sz w:val="24"/>
                <w:szCs w:val="24"/>
                <w:lang w:val="en-US"/>
              </w:rPr>
              <w:t>INCOME NEEDS</w:t>
            </w:r>
          </w:p>
        </w:tc>
      </w:tr>
      <w:tr w:rsidR="003864A2" w:rsidRPr="003864A2" w14:paraId="609598F9" w14:textId="77777777" w:rsidTr="00201AA9">
        <w:trPr>
          <w:trHeight w:val="321"/>
        </w:trPr>
        <w:tc>
          <w:tcPr>
            <w:tcW w:w="1331" w:type="dxa"/>
          </w:tcPr>
          <w:p w14:paraId="6F39387E" w14:textId="4DC137F9" w:rsidR="0010079C" w:rsidRPr="003864A2" w:rsidRDefault="00201AA9">
            <w:pPr>
              <w:rPr>
                <w:rFonts w:ascii="Times New Roman" w:hAnsi="Times New Roman" w:cs="Times New Roman"/>
                <w:sz w:val="24"/>
                <w:szCs w:val="24"/>
                <w:lang w:val="en-US"/>
              </w:rPr>
            </w:pPr>
            <w:r w:rsidRPr="003864A2">
              <w:rPr>
                <w:rFonts w:ascii="Times New Roman" w:hAnsi="Times New Roman" w:cs="Times New Roman"/>
                <w:sz w:val="24"/>
                <w:szCs w:val="24"/>
                <w:lang w:val="en-US"/>
              </w:rPr>
              <w:t>Individual</w:t>
            </w:r>
          </w:p>
        </w:tc>
        <w:tc>
          <w:tcPr>
            <w:tcW w:w="1850" w:type="dxa"/>
          </w:tcPr>
          <w:p w14:paraId="01391A49" w14:textId="1CC534C8" w:rsidR="0010079C"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rPr>
              <w:t>Varies by individual</w:t>
            </w:r>
          </w:p>
        </w:tc>
        <w:tc>
          <w:tcPr>
            <w:tcW w:w="2404" w:type="dxa"/>
          </w:tcPr>
          <w:p w14:paraId="06B21433" w14:textId="5707745B" w:rsidR="0010079C"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rPr>
              <w:t>Varies by individual</w:t>
            </w:r>
          </w:p>
        </w:tc>
        <w:tc>
          <w:tcPr>
            <w:tcW w:w="1841" w:type="dxa"/>
          </w:tcPr>
          <w:p w14:paraId="78BDAC69" w14:textId="48CAF177" w:rsidR="0010079C"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rPr>
              <w:t>Varies by individual</w:t>
            </w:r>
          </w:p>
        </w:tc>
        <w:tc>
          <w:tcPr>
            <w:tcW w:w="1783" w:type="dxa"/>
          </w:tcPr>
          <w:p w14:paraId="1F8C3337" w14:textId="23EFD14F" w:rsidR="0010079C"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rPr>
              <w:t>Varies by individual</w:t>
            </w:r>
          </w:p>
        </w:tc>
      </w:tr>
      <w:tr w:rsidR="003864A2" w:rsidRPr="003864A2" w14:paraId="06419EB6" w14:textId="77777777" w:rsidTr="00201AA9">
        <w:trPr>
          <w:trHeight w:val="308"/>
        </w:trPr>
        <w:tc>
          <w:tcPr>
            <w:tcW w:w="1331" w:type="dxa"/>
          </w:tcPr>
          <w:p w14:paraId="661A7A0C" w14:textId="6C157044" w:rsidR="0010079C"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lang w:val="en-US"/>
              </w:rPr>
              <w:t>Defined benefit pension plan</w:t>
            </w:r>
          </w:p>
        </w:tc>
        <w:tc>
          <w:tcPr>
            <w:tcW w:w="1850" w:type="dxa"/>
          </w:tcPr>
          <w:p w14:paraId="20C9064A" w14:textId="64961991" w:rsidR="0010079C"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rPr>
              <w:t>Typically quite high</w:t>
            </w:r>
          </w:p>
        </w:tc>
        <w:tc>
          <w:tcPr>
            <w:tcW w:w="2404" w:type="dxa"/>
          </w:tcPr>
          <w:p w14:paraId="5B02F5E2" w14:textId="33F54FBE" w:rsidR="0010079C"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rPr>
              <w:t>Typically long term</w:t>
            </w:r>
          </w:p>
        </w:tc>
        <w:tc>
          <w:tcPr>
            <w:tcW w:w="1841" w:type="dxa"/>
          </w:tcPr>
          <w:p w14:paraId="1B9FD75D" w14:textId="6F652C89" w:rsidR="0010079C"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rPr>
              <w:t>Varies by maturity of the plan</w:t>
            </w:r>
          </w:p>
        </w:tc>
        <w:tc>
          <w:tcPr>
            <w:tcW w:w="1783" w:type="dxa"/>
          </w:tcPr>
          <w:p w14:paraId="5E15D2B7" w14:textId="59264F0C" w:rsidR="0010079C"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rPr>
              <w:t>High for mature funds; low for growing funds</w:t>
            </w:r>
          </w:p>
        </w:tc>
      </w:tr>
      <w:tr w:rsidR="003864A2" w:rsidRPr="003864A2" w14:paraId="2FA9BDDB" w14:textId="77777777" w:rsidTr="00201AA9">
        <w:trPr>
          <w:trHeight w:val="321"/>
        </w:trPr>
        <w:tc>
          <w:tcPr>
            <w:tcW w:w="1331" w:type="dxa"/>
          </w:tcPr>
          <w:p w14:paraId="1E7252A2" w14:textId="32C78D72" w:rsidR="0010079C" w:rsidRPr="003864A2" w:rsidRDefault="00201AA9">
            <w:pPr>
              <w:rPr>
                <w:rFonts w:ascii="Times New Roman" w:hAnsi="Times New Roman" w:cs="Times New Roman"/>
                <w:sz w:val="24"/>
                <w:szCs w:val="24"/>
                <w:lang w:val="en-US"/>
              </w:rPr>
            </w:pPr>
            <w:r w:rsidRPr="003864A2">
              <w:rPr>
                <w:rFonts w:ascii="Times New Roman" w:hAnsi="Times New Roman" w:cs="Times New Roman"/>
                <w:sz w:val="24"/>
                <w:szCs w:val="24"/>
                <w:lang w:val="en-US"/>
              </w:rPr>
              <w:t>Endowment</w:t>
            </w:r>
          </w:p>
        </w:tc>
        <w:tc>
          <w:tcPr>
            <w:tcW w:w="1850" w:type="dxa"/>
          </w:tcPr>
          <w:p w14:paraId="22D8D244" w14:textId="55F85143" w:rsidR="0010079C"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rPr>
              <w:t>Typically high</w:t>
            </w:r>
          </w:p>
        </w:tc>
        <w:tc>
          <w:tcPr>
            <w:tcW w:w="2404" w:type="dxa"/>
          </w:tcPr>
          <w:p w14:paraId="73074421" w14:textId="3FCE7B75" w:rsidR="0010079C"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rPr>
              <w:t>Very long term</w:t>
            </w:r>
          </w:p>
        </w:tc>
        <w:tc>
          <w:tcPr>
            <w:tcW w:w="1841" w:type="dxa"/>
          </w:tcPr>
          <w:p w14:paraId="78CDA67D" w14:textId="1BE16636" w:rsidR="0010079C"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rPr>
              <w:t>Typically quite low</w:t>
            </w:r>
          </w:p>
        </w:tc>
        <w:tc>
          <w:tcPr>
            <w:tcW w:w="1783" w:type="dxa"/>
          </w:tcPr>
          <w:p w14:paraId="0478F709" w14:textId="79098D06" w:rsidR="0010079C"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rPr>
              <w:t>To meet spending requirements</w:t>
            </w:r>
          </w:p>
        </w:tc>
      </w:tr>
      <w:tr w:rsidR="003864A2" w:rsidRPr="003864A2" w14:paraId="4AF271B9" w14:textId="77777777" w:rsidTr="00201AA9">
        <w:trPr>
          <w:trHeight w:val="308"/>
        </w:trPr>
        <w:tc>
          <w:tcPr>
            <w:tcW w:w="1331" w:type="dxa"/>
          </w:tcPr>
          <w:p w14:paraId="1DE54D22" w14:textId="18298867" w:rsidR="0010079C" w:rsidRPr="003864A2" w:rsidRDefault="00201AA9">
            <w:pPr>
              <w:rPr>
                <w:rFonts w:ascii="Times New Roman" w:hAnsi="Times New Roman" w:cs="Times New Roman"/>
                <w:sz w:val="24"/>
                <w:szCs w:val="24"/>
                <w:lang w:val="en-US"/>
              </w:rPr>
            </w:pPr>
            <w:r w:rsidRPr="003864A2">
              <w:rPr>
                <w:rFonts w:ascii="Times New Roman" w:hAnsi="Times New Roman" w:cs="Times New Roman"/>
                <w:sz w:val="24"/>
                <w:szCs w:val="24"/>
                <w:lang w:val="en-US"/>
              </w:rPr>
              <w:t>Insurance</w:t>
            </w:r>
          </w:p>
        </w:tc>
        <w:tc>
          <w:tcPr>
            <w:tcW w:w="1850" w:type="dxa"/>
          </w:tcPr>
          <w:p w14:paraId="00CCCB46" w14:textId="660C9AAE" w:rsidR="0010079C"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rPr>
              <w:t>Typically quite low</w:t>
            </w:r>
          </w:p>
        </w:tc>
        <w:tc>
          <w:tcPr>
            <w:tcW w:w="2404" w:type="dxa"/>
          </w:tcPr>
          <w:p w14:paraId="4B9EFF91" w14:textId="2F4DDA6C" w:rsidR="0010079C"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rPr>
              <w:t>Short term for property and casualty; long term for life insurance companies</w:t>
            </w:r>
          </w:p>
        </w:tc>
        <w:tc>
          <w:tcPr>
            <w:tcW w:w="1841" w:type="dxa"/>
          </w:tcPr>
          <w:p w14:paraId="2DBF2DED" w14:textId="429A7AF3" w:rsidR="0010079C"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rPr>
              <w:t>High to meet claims</w:t>
            </w:r>
          </w:p>
        </w:tc>
        <w:tc>
          <w:tcPr>
            <w:tcW w:w="1783" w:type="dxa"/>
          </w:tcPr>
          <w:p w14:paraId="1A51B0A5" w14:textId="4E29A6D7" w:rsidR="0010079C"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rPr>
              <w:t>Typically low</w:t>
            </w:r>
          </w:p>
        </w:tc>
      </w:tr>
      <w:tr w:rsidR="003864A2" w:rsidRPr="003864A2" w14:paraId="00F3818F" w14:textId="77777777" w:rsidTr="00201AA9">
        <w:trPr>
          <w:trHeight w:val="630"/>
        </w:trPr>
        <w:tc>
          <w:tcPr>
            <w:tcW w:w="1331" w:type="dxa"/>
          </w:tcPr>
          <w:p w14:paraId="5201A07F" w14:textId="46144066" w:rsidR="0010079C" w:rsidRPr="003864A2" w:rsidRDefault="00201AA9">
            <w:pPr>
              <w:rPr>
                <w:rFonts w:ascii="Times New Roman" w:hAnsi="Times New Roman" w:cs="Times New Roman"/>
                <w:sz w:val="24"/>
                <w:szCs w:val="24"/>
                <w:lang w:val="en-US"/>
              </w:rPr>
            </w:pPr>
            <w:r w:rsidRPr="003864A2">
              <w:rPr>
                <w:rFonts w:ascii="Times New Roman" w:hAnsi="Times New Roman" w:cs="Times New Roman"/>
                <w:sz w:val="24"/>
                <w:szCs w:val="24"/>
                <w:lang w:val="en-US"/>
              </w:rPr>
              <w:t>Mutual funds</w:t>
            </w:r>
          </w:p>
        </w:tc>
        <w:tc>
          <w:tcPr>
            <w:tcW w:w="1850" w:type="dxa"/>
          </w:tcPr>
          <w:p w14:paraId="2376FD42" w14:textId="31533F04" w:rsidR="0010079C" w:rsidRPr="003864A2" w:rsidRDefault="00593981">
            <w:pPr>
              <w:rPr>
                <w:rFonts w:ascii="Times New Roman" w:hAnsi="Times New Roman" w:cs="Times New Roman"/>
                <w:sz w:val="24"/>
                <w:szCs w:val="24"/>
                <w:lang w:val="en-US"/>
              </w:rPr>
            </w:pPr>
            <w:r w:rsidRPr="003864A2">
              <w:rPr>
                <w:rFonts w:ascii="Times New Roman" w:hAnsi="Times New Roman" w:cs="Times New Roman"/>
                <w:sz w:val="24"/>
                <w:szCs w:val="24"/>
              </w:rPr>
              <w:t>Varies by fund</w:t>
            </w:r>
          </w:p>
        </w:tc>
        <w:tc>
          <w:tcPr>
            <w:tcW w:w="2404" w:type="dxa"/>
          </w:tcPr>
          <w:p w14:paraId="26DE8DA4" w14:textId="206F825E" w:rsidR="0010079C" w:rsidRPr="003864A2" w:rsidRDefault="00593981">
            <w:pPr>
              <w:rPr>
                <w:rFonts w:ascii="Times New Roman" w:hAnsi="Times New Roman" w:cs="Times New Roman"/>
                <w:sz w:val="24"/>
                <w:szCs w:val="24"/>
                <w:lang w:val="en-US"/>
              </w:rPr>
            </w:pPr>
            <w:r w:rsidRPr="003864A2">
              <w:rPr>
                <w:rFonts w:ascii="Times New Roman" w:hAnsi="Times New Roman" w:cs="Times New Roman"/>
                <w:sz w:val="24"/>
                <w:szCs w:val="24"/>
              </w:rPr>
              <w:t>Varies by fund</w:t>
            </w:r>
          </w:p>
        </w:tc>
        <w:tc>
          <w:tcPr>
            <w:tcW w:w="1841" w:type="dxa"/>
          </w:tcPr>
          <w:p w14:paraId="42EC9D0D" w14:textId="277E4446" w:rsidR="0010079C" w:rsidRPr="003864A2" w:rsidRDefault="00593981">
            <w:pPr>
              <w:rPr>
                <w:rFonts w:ascii="Times New Roman" w:hAnsi="Times New Roman" w:cs="Times New Roman"/>
                <w:sz w:val="24"/>
                <w:szCs w:val="24"/>
                <w:lang w:val="en-US"/>
              </w:rPr>
            </w:pPr>
            <w:r w:rsidRPr="003864A2">
              <w:rPr>
                <w:rFonts w:ascii="Times New Roman" w:hAnsi="Times New Roman" w:cs="Times New Roman"/>
                <w:sz w:val="24"/>
                <w:szCs w:val="24"/>
              </w:rPr>
              <w:t>Varies by fund</w:t>
            </w:r>
          </w:p>
        </w:tc>
        <w:tc>
          <w:tcPr>
            <w:tcW w:w="1783" w:type="dxa"/>
          </w:tcPr>
          <w:p w14:paraId="0A51D8B6" w14:textId="48AB35E6" w:rsidR="0010079C" w:rsidRPr="003864A2" w:rsidRDefault="00593981">
            <w:pPr>
              <w:rPr>
                <w:rFonts w:ascii="Times New Roman" w:hAnsi="Times New Roman" w:cs="Times New Roman"/>
                <w:sz w:val="24"/>
                <w:szCs w:val="24"/>
                <w:lang w:val="en-US"/>
              </w:rPr>
            </w:pPr>
            <w:r w:rsidRPr="003864A2">
              <w:rPr>
                <w:rFonts w:ascii="Times New Roman" w:hAnsi="Times New Roman" w:cs="Times New Roman"/>
                <w:sz w:val="24"/>
                <w:szCs w:val="24"/>
              </w:rPr>
              <w:t>Varies by fund</w:t>
            </w:r>
          </w:p>
        </w:tc>
      </w:tr>
      <w:tr w:rsidR="003864A2" w:rsidRPr="003864A2" w14:paraId="7B33E9DD" w14:textId="77777777" w:rsidTr="00201AA9">
        <w:trPr>
          <w:trHeight w:val="630"/>
        </w:trPr>
        <w:tc>
          <w:tcPr>
            <w:tcW w:w="1331" w:type="dxa"/>
          </w:tcPr>
          <w:p w14:paraId="6C952896" w14:textId="5993C86D" w:rsidR="00201AA9"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lang w:val="en-US"/>
              </w:rPr>
              <w:t>Banks</w:t>
            </w:r>
          </w:p>
        </w:tc>
        <w:tc>
          <w:tcPr>
            <w:tcW w:w="1850" w:type="dxa"/>
          </w:tcPr>
          <w:p w14:paraId="3142FDC0" w14:textId="2EC86043" w:rsidR="00201AA9"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rPr>
              <w:t>Quite low</w:t>
            </w:r>
          </w:p>
        </w:tc>
        <w:tc>
          <w:tcPr>
            <w:tcW w:w="2404" w:type="dxa"/>
          </w:tcPr>
          <w:p w14:paraId="720D80F2" w14:textId="7BB97314" w:rsidR="00201AA9"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rPr>
              <w:t>Short term</w:t>
            </w:r>
          </w:p>
        </w:tc>
        <w:tc>
          <w:tcPr>
            <w:tcW w:w="1841" w:type="dxa"/>
          </w:tcPr>
          <w:p w14:paraId="0B18A7B9" w14:textId="3E6C94BA" w:rsidR="00201AA9"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rPr>
              <w:t>High to meet repayment of deposits</w:t>
            </w:r>
          </w:p>
        </w:tc>
        <w:tc>
          <w:tcPr>
            <w:tcW w:w="1783" w:type="dxa"/>
          </w:tcPr>
          <w:p w14:paraId="4BE71596" w14:textId="1CE5FECC" w:rsidR="00201AA9" w:rsidRPr="003864A2" w:rsidRDefault="005C4D5B">
            <w:pPr>
              <w:rPr>
                <w:rFonts w:ascii="Times New Roman" w:hAnsi="Times New Roman" w:cs="Times New Roman"/>
                <w:sz w:val="24"/>
                <w:szCs w:val="24"/>
                <w:lang w:val="en-US"/>
              </w:rPr>
            </w:pPr>
            <w:r w:rsidRPr="003864A2">
              <w:rPr>
                <w:rFonts w:ascii="Times New Roman" w:hAnsi="Times New Roman" w:cs="Times New Roman"/>
                <w:sz w:val="24"/>
                <w:szCs w:val="24"/>
              </w:rPr>
              <w:t>To pay interest on deposits and operational expenses</w:t>
            </w:r>
          </w:p>
        </w:tc>
      </w:tr>
    </w:tbl>
    <w:p w14:paraId="493C5A34" w14:textId="1D9C7DC7" w:rsidR="0010079C" w:rsidRPr="003864A2" w:rsidRDefault="0010079C">
      <w:pPr>
        <w:rPr>
          <w:rFonts w:ascii="Times New Roman" w:hAnsi="Times New Roman" w:cs="Times New Roman"/>
          <w:sz w:val="24"/>
          <w:szCs w:val="24"/>
          <w:lang w:val="en-US"/>
        </w:rPr>
      </w:pPr>
    </w:p>
    <w:p w14:paraId="1791EE06" w14:textId="5BAFAC16" w:rsidR="00412DDE" w:rsidRPr="003864A2" w:rsidRDefault="00412DDE">
      <w:pPr>
        <w:rPr>
          <w:rFonts w:ascii="Times New Roman" w:hAnsi="Times New Roman" w:cs="Times New Roman"/>
          <w:sz w:val="24"/>
          <w:szCs w:val="24"/>
        </w:rPr>
      </w:pPr>
      <w:r w:rsidRPr="003864A2">
        <w:rPr>
          <w:rFonts w:ascii="Times New Roman" w:hAnsi="Times New Roman" w:cs="Times New Roman"/>
          <w:sz w:val="24"/>
          <w:szCs w:val="24"/>
          <w:lang w:val="en-US"/>
        </w:rPr>
        <w:t xml:space="preserve">Q15] </w:t>
      </w:r>
      <w:r w:rsidRPr="003864A2">
        <w:rPr>
          <w:rFonts w:ascii="Times New Roman" w:hAnsi="Times New Roman" w:cs="Times New Roman"/>
          <w:sz w:val="24"/>
          <w:szCs w:val="24"/>
        </w:rPr>
        <w:t>Many employees of public and private companies invest for retirement through defined contribution pension plans (DC plans). DC plans are retirement plans in the employee’s name usually funded by both the employee and the employer.</w:t>
      </w:r>
    </w:p>
    <w:p w14:paraId="7D69B203" w14:textId="3CBDBE89" w:rsidR="00412DDE" w:rsidRPr="003864A2" w:rsidRDefault="00412DDE">
      <w:pPr>
        <w:rPr>
          <w:rFonts w:ascii="Times New Roman" w:hAnsi="Times New Roman" w:cs="Times New Roman"/>
          <w:sz w:val="24"/>
          <w:szCs w:val="24"/>
        </w:rPr>
      </w:pPr>
      <w:r w:rsidRPr="003864A2">
        <w:rPr>
          <w:rFonts w:ascii="Times New Roman" w:hAnsi="Times New Roman" w:cs="Times New Roman"/>
          <w:sz w:val="24"/>
          <w:szCs w:val="24"/>
        </w:rPr>
        <w:t>Defined benefit pension plans (DB plans) are company-sponsored plans that offer employees a predefined benefit on retirement. The future benefit is defined because the DB plan requires the plan sponsor to specify the obligation stated in terms of the retirement income benefits owed to participants.</w:t>
      </w:r>
    </w:p>
    <w:p w14:paraId="564365F6" w14:textId="12CB5E15" w:rsidR="00412DDE" w:rsidRPr="003864A2" w:rsidRDefault="00412DDE" w:rsidP="00412DDE">
      <w:pPr>
        <w:jc w:val="center"/>
        <w:rPr>
          <w:rFonts w:ascii="Times New Roman" w:hAnsi="Times New Roman" w:cs="Times New Roman"/>
          <w:sz w:val="24"/>
          <w:szCs w:val="24"/>
          <w:lang w:val="en-US"/>
        </w:rPr>
      </w:pPr>
      <w:r w:rsidRPr="003864A2">
        <w:rPr>
          <w:rFonts w:ascii="Times New Roman" w:hAnsi="Times New Roman" w:cs="Times New Roman"/>
          <w:sz w:val="24"/>
          <w:szCs w:val="24"/>
          <w:lang w:val="en-US"/>
        </w:rPr>
        <w:t>UNIT-4</w:t>
      </w:r>
    </w:p>
    <w:p w14:paraId="0F075383" w14:textId="70C91439" w:rsidR="00412DDE" w:rsidRPr="003864A2" w:rsidRDefault="00412DDE" w:rsidP="00412DDE">
      <w:pPr>
        <w:rPr>
          <w:rFonts w:ascii="Times New Roman" w:hAnsi="Times New Roman" w:cs="Times New Roman"/>
          <w:sz w:val="24"/>
          <w:szCs w:val="24"/>
          <w:lang w:val="en-US"/>
        </w:rPr>
      </w:pPr>
      <w:r w:rsidRPr="003864A2">
        <w:rPr>
          <w:rFonts w:ascii="Times New Roman" w:hAnsi="Times New Roman" w:cs="Times New Roman"/>
          <w:sz w:val="24"/>
          <w:szCs w:val="24"/>
          <w:lang w:val="en-US"/>
        </w:rPr>
        <w:t xml:space="preserve">Q1] </w:t>
      </w:r>
      <w:r w:rsidR="00A86A40" w:rsidRPr="003864A2">
        <w:rPr>
          <w:rFonts w:ascii="Times New Roman" w:hAnsi="Times New Roman" w:cs="Times New Roman"/>
          <w:sz w:val="24"/>
          <w:szCs w:val="24"/>
        </w:rPr>
        <w:t>B. the sensitivity of their earnings to the business cycle.</w:t>
      </w:r>
    </w:p>
    <w:p w14:paraId="2D0C220F" w14:textId="1F172F5A" w:rsidR="00412DDE" w:rsidRPr="003864A2" w:rsidRDefault="00412DDE" w:rsidP="00412DDE">
      <w:pPr>
        <w:rPr>
          <w:rFonts w:ascii="Times New Roman" w:hAnsi="Times New Roman" w:cs="Times New Roman"/>
          <w:sz w:val="24"/>
          <w:szCs w:val="24"/>
          <w:lang w:val="en-US"/>
        </w:rPr>
      </w:pPr>
      <w:r w:rsidRPr="003864A2">
        <w:rPr>
          <w:rFonts w:ascii="Times New Roman" w:hAnsi="Times New Roman" w:cs="Times New Roman"/>
          <w:sz w:val="24"/>
          <w:szCs w:val="24"/>
          <w:lang w:val="en-US"/>
        </w:rPr>
        <w:t>Q2]</w:t>
      </w:r>
      <w:r w:rsidR="00A86A40" w:rsidRPr="003864A2">
        <w:rPr>
          <w:rFonts w:ascii="Times New Roman" w:hAnsi="Times New Roman" w:cs="Times New Roman"/>
          <w:sz w:val="24"/>
          <w:szCs w:val="24"/>
          <w:lang w:val="en-US"/>
        </w:rPr>
        <w:t xml:space="preserve"> </w:t>
      </w:r>
      <w:r w:rsidR="00A86A40" w:rsidRPr="003864A2">
        <w:rPr>
          <w:rFonts w:ascii="Times New Roman" w:hAnsi="Times New Roman" w:cs="Times New Roman"/>
          <w:sz w:val="24"/>
          <w:szCs w:val="24"/>
        </w:rPr>
        <w:t>C. derive their revenue and earnings from similar business activities.</w:t>
      </w:r>
    </w:p>
    <w:p w14:paraId="0DFF1AF2" w14:textId="6C53B3FF" w:rsidR="00412DDE" w:rsidRPr="003864A2" w:rsidRDefault="00412DDE" w:rsidP="00412DDE">
      <w:pPr>
        <w:rPr>
          <w:rFonts w:ascii="Times New Roman" w:hAnsi="Times New Roman" w:cs="Times New Roman"/>
          <w:sz w:val="24"/>
          <w:szCs w:val="24"/>
          <w:lang w:val="en-US"/>
        </w:rPr>
      </w:pPr>
      <w:r w:rsidRPr="003864A2">
        <w:rPr>
          <w:rFonts w:ascii="Times New Roman" w:hAnsi="Times New Roman" w:cs="Times New Roman"/>
          <w:sz w:val="24"/>
          <w:szCs w:val="24"/>
          <w:lang w:val="en-US"/>
        </w:rPr>
        <w:t>Q3]</w:t>
      </w:r>
      <w:r w:rsidR="00A86A40" w:rsidRPr="003864A2">
        <w:rPr>
          <w:rFonts w:ascii="Times New Roman" w:hAnsi="Times New Roman" w:cs="Times New Roman"/>
          <w:sz w:val="24"/>
          <w:szCs w:val="24"/>
          <w:lang w:val="en-US"/>
        </w:rPr>
        <w:t xml:space="preserve"> </w:t>
      </w:r>
      <w:r w:rsidR="00A86A40" w:rsidRPr="003864A2">
        <w:rPr>
          <w:rFonts w:ascii="Times New Roman" w:hAnsi="Times New Roman" w:cs="Times New Roman"/>
          <w:sz w:val="24"/>
          <w:szCs w:val="24"/>
        </w:rPr>
        <w:t>A. output.</w:t>
      </w:r>
    </w:p>
    <w:p w14:paraId="69DEE41F" w14:textId="6F683729" w:rsidR="00412DDE" w:rsidRPr="003864A2" w:rsidRDefault="00412DDE" w:rsidP="00412DDE">
      <w:pPr>
        <w:rPr>
          <w:rFonts w:ascii="Times New Roman" w:hAnsi="Times New Roman" w:cs="Times New Roman"/>
          <w:sz w:val="24"/>
          <w:szCs w:val="24"/>
          <w:lang w:val="en-US"/>
        </w:rPr>
      </w:pPr>
      <w:r w:rsidRPr="003864A2">
        <w:rPr>
          <w:rFonts w:ascii="Times New Roman" w:hAnsi="Times New Roman" w:cs="Times New Roman"/>
          <w:sz w:val="24"/>
          <w:szCs w:val="24"/>
          <w:lang w:val="en-US"/>
        </w:rPr>
        <w:t>Q4]</w:t>
      </w:r>
      <w:r w:rsidR="00A86A40" w:rsidRPr="003864A2">
        <w:rPr>
          <w:rFonts w:ascii="Times New Roman" w:hAnsi="Times New Roman" w:cs="Times New Roman"/>
          <w:sz w:val="24"/>
          <w:szCs w:val="24"/>
          <w:lang w:val="en-US"/>
        </w:rPr>
        <w:t xml:space="preserve"> </w:t>
      </w:r>
      <w:r w:rsidR="00A86A40" w:rsidRPr="003864A2">
        <w:rPr>
          <w:rFonts w:ascii="Times New Roman" w:hAnsi="Times New Roman" w:cs="Times New Roman"/>
          <w:sz w:val="24"/>
          <w:szCs w:val="24"/>
        </w:rPr>
        <w:t>A. Market correlations.</w:t>
      </w:r>
    </w:p>
    <w:p w14:paraId="309702E0" w14:textId="06C624FA" w:rsidR="00412DDE" w:rsidRPr="003864A2" w:rsidRDefault="00412DDE" w:rsidP="00412DDE">
      <w:pPr>
        <w:rPr>
          <w:rFonts w:ascii="Times New Roman" w:hAnsi="Times New Roman" w:cs="Times New Roman"/>
          <w:sz w:val="24"/>
          <w:szCs w:val="24"/>
          <w:lang w:val="en-US"/>
        </w:rPr>
      </w:pPr>
      <w:r w:rsidRPr="003864A2">
        <w:rPr>
          <w:rFonts w:ascii="Times New Roman" w:hAnsi="Times New Roman" w:cs="Times New Roman"/>
          <w:sz w:val="24"/>
          <w:szCs w:val="24"/>
          <w:lang w:val="en-US"/>
        </w:rPr>
        <w:t>Q5]</w:t>
      </w:r>
      <w:r w:rsidR="000B52AC" w:rsidRPr="003864A2">
        <w:rPr>
          <w:rFonts w:ascii="Times New Roman" w:hAnsi="Times New Roman" w:cs="Times New Roman"/>
          <w:sz w:val="24"/>
          <w:szCs w:val="24"/>
          <w:lang w:val="en-US"/>
        </w:rPr>
        <w:t xml:space="preserve"> </w:t>
      </w:r>
      <w:r w:rsidR="000B52AC" w:rsidRPr="003864A2">
        <w:rPr>
          <w:rFonts w:ascii="Times New Roman" w:hAnsi="Times New Roman" w:cs="Times New Roman"/>
          <w:sz w:val="24"/>
          <w:szCs w:val="24"/>
        </w:rPr>
        <w:t>B. power of suppliers and threat of substitutes.</w:t>
      </w:r>
    </w:p>
    <w:p w14:paraId="1E93D41C" w14:textId="03DBF4DB" w:rsidR="00412DDE" w:rsidRPr="003864A2" w:rsidRDefault="00412DDE" w:rsidP="00412DDE">
      <w:pPr>
        <w:rPr>
          <w:rFonts w:ascii="Times New Roman" w:hAnsi="Times New Roman" w:cs="Times New Roman"/>
          <w:sz w:val="24"/>
          <w:szCs w:val="24"/>
          <w:lang w:val="en-US"/>
        </w:rPr>
      </w:pPr>
      <w:r w:rsidRPr="003864A2">
        <w:rPr>
          <w:rFonts w:ascii="Times New Roman" w:hAnsi="Times New Roman" w:cs="Times New Roman"/>
          <w:sz w:val="24"/>
          <w:szCs w:val="24"/>
          <w:lang w:val="en-US"/>
        </w:rPr>
        <w:t>Q6]</w:t>
      </w:r>
      <w:r w:rsidR="000B52AC" w:rsidRPr="003864A2">
        <w:rPr>
          <w:rFonts w:ascii="Times New Roman" w:hAnsi="Times New Roman" w:cs="Times New Roman"/>
          <w:sz w:val="24"/>
          <w:szCs w:val="24"/>
          <w:lang w:val="en-US"/>
        </w:rPr>
        <w:t xml:space="preserve"> </w:t>
      </w:r>
      <w:r w:rsidR="000B52AC" w:rsidRPr="003864A2">
        <w:rPr>
          <w:rFonts w:ascii="Times New Roman" w:hAnsi="Times New Roman" w:cs="Times New Roman"/>
          <w:sz w:val="24"/>
          <w:szCs w:val="24"/>
        </w:rPr>
        <w:t>B. market concentration.</w:t>
      </w:r>
    </w:p>
    <w:p w14:paraId="20080FCC" w14:textId="33218018" w:rsidR="00412DDE" w:rsidRPr="003864A2" w:rsidRDefault="00412DDE" w:rsidP="00412DDE">
      <w:pPr>
        <w:rPr>
          <w:rFonts w:ascii="Times New Roman" w:hAnsi="Times New Roman" w:cs="Times New Roman"/>
          <w:sz w:val="24"/>
          <w:szCs w:val="24"/>
          <w:lang w:val="en-US"/>
        </w:rPr>
      </w:pPr>
      <w:r w:rsidRPr="003864A2">
        <w:rPr>
          <w:rFonts w:ascii="Times New Roman" w:hAnsi="Times New Roman" w:cs="Times New Roman"/>
          <w:sz w:val="24"/>
          <w:szCs w:val="24"/>
          <w:lang w:val="en-US"/>
        </w:rPr>
        <w:t>Q7]</w:t>
      </w:r>
      <w:r w:rsidR="000B52AC" w:rsidRPr="003864A2">
        <w:rPr>
          <w:rFonts w:ascii="Times New Roman" w:hAnsi="Times New Roman" w:cs="Times New Roman"/>
          <w:sz w:val="24"/>
          <w:szCs w:val="24"/>
          <w:lang w:val="en-US"/>
        </w:rPr>
        <w:t xml:space="preserve"> </w:t>
      </w:r>
      <w:r w:rsidR="000B52AC" w:rsidRPr="003864A2">
        <w:rPr>
          <w:rFonts w:ascii="Times New Roman" w:hAnsi="Times New Roman" w:cs="Times New Roman"/>
          <w:sz w:val="24"/>
          <w:szCs w:val="24"/>
        </w:rPr>
        <w:t>decreases pricing power and greater ease of exit increases pricing power.</w:t>
      </w:r>
    </w:p>
    <w:p w14:paraId="226DA0A8" w14:textId="40353423" w:rsidR="00412DDE" w:rsidRPr="003864A2" w:rsidRDefault="00412DDE" w:rsidP="00412DDE">
      <w:pPr>
        <w:rPr>
          <w:rFonts w:ascii="Times New Roman" w:hAnsi="Times New Roman" w:cs="Times New Roman"/>
          <w:sz w:val="24"/>
          <w:szCs w:val="24"/>
          <w:lang w:val="en-US"/>
        </w:rPr>
      </w:pPr>
      <w:r w:rsidRPr="003864A2">
        <w:rPr>
          <w:rFonts w:ascii="Times New Roman" w:hAnsi="Times New Roman" w:cs="Times New Roman"/>
          <w:sz w:val="24"/>
          <w:szCs w:val="24"/>
          <w:lang w:val="en-US"/>
        </w:rPr>
        <w:t>Q8]</w:t>
      </w:r>
      <w:r w:rsidR="000B52AC" w:rsidRPr="003864A2">
        <w:rPr>
          <w:rFonts w:ascii="Times New Roman" w:hAnsi="Times New Roman" w:cs="Times New Roman"/>
          <w:sz w:val="24"/>
          <w:szCs w:val="24"/>
          <w:lang w:val="en-US"/>
        </w:rPr>
        <w:t xml:space="preserve"> </w:t>
      </w:r>
      <w:r w:rsidR="000B52AC" w:rsidRPr="003864A2">
        <w:rPr>
          <w:rFonts w:ascii="Times New Roman" w:hAnsi="Times New Roman" w:cs="Times New Roman"/>
          <w:sz w:val="24"/>
          <w:szCs w:val="24"/>
        </w:rPr>
        <w:t>B. Shakeout.</w:t>
      </w:r>
    </w:p>
    <w:p w14:paraId="01C5E3FB" w14:textId="1CA11F83" w:rsidR="00412DDE" w:rsidRPr="003864A2" w:rsidRDefault="00412DDE" w:rsidP="00412DDE">
      <w:pPr>
        <w:rPr>
          <w:rFonts w:ascii="Times New Roman" w:hAnsi="Times New Roman" w:cs="Times New Roman"/>
          <w:sz w:val="24"/>
          <w:szCs w:val="24"/>
          <w:lang w:val="en-US"/>
        </w:rPr>
      </w:pPr>
      <w:r w:rsidRPr="003864A2">
        <w:rPr>
          <w:rFonts w:ascii="Times New Roman" w:hAnsi="Times New Roman" w:cs="Times New Roman"/>
          <w:sz w:val="24"/>
          <w:szCs w:val="24"/>
          <w:lang w:val="en-US"/>
        </w:rPr>
        <w:lastRenderedPageBreak/>
        <w:t>Q9]</w:t>
      </w:r>
      <w:r w:rsidR="000B52AC" w:rsidRPr="003864A2">
        <w:rPr>
          <w:rFonts w:ascii="Times New Roman" w:hAnsi="Times New Roman" w:cs="Times New Roman"/>
          <w:sz w:val="24"/>
          <w:szCs w:val="24"/>
          <w:lang w:val="en-US"/>
        </w:rPr>
        <w:t xml:space="preserve"> </w:t>
      </w:r>
      <w:r w:rsidR="000B52AC" w:rsidRPr="003864A2">
        <w:rPr>
          <w:rFonts w:ascii="Times New Roman" w:hAnsi="Times New Roman" w:cs="Times New Roman"/>
          <w:sz w:val="24"/>
          <w:szCs w:val="24"/>
        </w:rPr>
        <w:t>A. An energy exploration firm in financial distress that owns drilling rights for offshore areas,</w:t>
      </w:r>
    </w:p>
    <w:p w14:paraId="702A080C" w14:textId="61FACDDE" w:rsidR="002F495C" w:rsidRPr="003864A2" w:rsidRDefault="00412DDE" w:rsidP="00412DDE">
      <w:pPr>
        <w:rPr>
          <w:rFonts w:ascii="Times New Roman" w:hAnsi="Times New Roman" w:cs="Times New Roman"/>
          <w:sz w:val="24"/>
          <w:szCs w:val="24"/>
        </w:rPr>
      </w:pPr>
      <w:r w:rsidRPr="003864A2">
        <w:rPr>
          <w:rFonts w:ascii="Times New Roman" w:hAnsi="Times New Roman" w:cs="Times New Roman"/>
          <w:sz w:val="24"/>
          <w:szCs w:val="24"/>
          <w:lang w:val="en-US"/>
        </w:rPr>
        <w:t>Q10]</w:t>
      </w:r>
      <w:r w:rsidR="002F495C" w:rsidRPr="003864A2">
        <w:rPr>
          <w:rFonts w:ascii="Times New Roman" w:hAnsi="Times New Roman" w:cs="Times New Roman"/>
          <w:sz w:val="24"/>
          <w:szCs w:val="24"/>
          <w:lang w:val="en-US"/>
        </w:rPr>
        <w:t xml:space="preserve"> </w:t>
      </w:r>
      <w:r w:rsidR="002F495C" w:rsidRPr="003864A2">
        <w:rPr>
          <w:rFonts w:ascii="Times New Roman" w:hAnsi="Times New Roman" w:cs="Times New Roman"/>
          <w:sz w:val="24"/>
          <w:szCs w:val="24"/>
        </w:rPr>
        <w:t>B. Price multiple models.</w:t>
      </w:r>
    </w:p>
    <w:p w14:paraId="773E64CE" w14:textId="77777777" w:rsidR="002F495C" w:rsidRPr="003864A2" w:rsidRDefault="002F495C" w:rsidP="002F495C">
      <w:pPr>
        <w:pStyle w:val="NormalWeb"/>
        <w:shd w:val="clear" w:color="auto" w:fill="FFFFFF"/>
        <w:spacing w:before="0" w:beforeAutospacing="0" w:after="312" w:afterAutospacing="0"/>
      </w:pPr>
      <w:r w:rsidRPr="003864A2">
        <w:t>Q11] The five forces are:</w:t>
      </w:r>
    </w:p>
    <w:p w14:paraId="2FAE373C" w14:textId="77777777" w:rsidR="002F495C" w:rsidRPr="003864A2" w:rsidRDefault="002F495C" w:rsidP="002F495C">
      <w:pPr>
        <w:shd w:val="clear" w:color="auto" w:fill="FFFFFF"/>
        <w:spacing w:after="312" w:line="240" w:lineRule="auto"/>
        <w:rPr>
          <w:rFonts w:ascii="Times New Roman" w:eastAsia="Times New Roman" w:hAnsi="Times New Roman" w:cs="Times New Roman"/>
          <w:sz w:val="24"/>
          <w:szCs w:val="24"/>
          <w:lang w:eastAsia="en-IN"/>
        </w:rPr>
      </w:pPr>
      <w:r w:rsidRPr="003864A2">
        <w:rPr>
          <w:rFonts w:ascii="Times New Roman" w:eastAsia="Times New Roman" w:hAnsi="Times New Roman" w:cs="Times New Roman"/>
          <w:sz w:val="24"/>
          <w:szCs w:val="24"/>
          <w:lang w:eastAsia="en-IN"/>
        </w:rPr>
        <w:t>1. Supplier power. An assessment of how easy it is for suppliers to drive up prices. This is driven by the: number of suppliers of each essential input; uniqueness of their product or service; relative size and strength of the supplier; and cost of switching from one supplier to another.</w:t>
      </w:r>
    </w:p>
    <w:p w14:paraId="4989D123" w14:textId="77777777" w:rsidR="002F495C" w:rsidRPr="003864A2" w:rsidRDefault="002F495C" w:rsidP="002F495C">
      <w:pPr>
        <w:shd w:val="clear" w:color="auto" w:fill="FFFFFF"/>
        <w:spacing w:after="312" w:line="240" w:lineRule="auto"/>
        <w:rPr>
          <w:rFonts w:ascii="Times New Roman" w:eastAsia="Times New Roman" w:hAnsi="Times New Roman" w:cs="Times New Roman"/>
          <w:sz w:val="24"/>
          <w:szCs w:val="24"/>
          <w:lang w:eastAsia="en-IN"/>
        </w:rPr>
      </w:pPr>
      <w:r w:rsidRPr="003864A2">
        <w:rPr>
          <w:rFonts w:ascii="Times New Roman" w:eastAsia="Times New Roman" w:hAnsi="Times New Roman" w:cs="Times New Roman"/>
          <w:sz w:val="24"/>
          <w:szCs w:val="24"/>
          <w:lang w:eastAsia="en-IN"/>
        </w:rPr>
        <w:t>2. Buyer power. An assessment of how easy it is for buyers to drive prices down. This is driven by the: number of buyers in the market; importance of each individual buyer to the organisation; and cost to the buyer of switching from one supplier to another. If a business has just a few powerful buyers, they are often able to dictate terms.</w:t>
      </w:r>
    </w:p>
    <w:p w14:paraId="47290B79" w14:textId="77777777" w:rsidR="002F495C" w:rsidRPr="003864A2" w:rsidRDefault="002F495C" w:rsidP="002F495C">
      <w:pPr>
        <w:shd w:val="clear" w:color="auto" w:fill="FFFFFF"/>
        <w:spacing w:after="312" w:line="240" w:lineRule="auto"/>
        <w:rPr>
          <w:rFonts w:ascii="Times New Roman" w:eastAsia="Times New Roman" w:hAnsi="Times New Roman" w:cs="Times New Roman"/>
          <w:sz w:val="24"/>
          <w:szCs w:val="24"/>
          <w:lang w:eastAsia="en-IN"/>
        </w:rPr>
      </w:pPr>
      <w:r w:rsidRPr="003864A2">
        <w:rPr>
          <w:rFonts w:ascii="Times New Roman" w:eastAsia="Times New Roman" w:hAnsi="Times New Roman" w:cs="Times New Roman"/>
          <w:sz w:val="24"/>
          <w:szCs w:val="24"/>
          <w:lang w:eastAsia="en-IN"/>
        </w:rPr>
        <w:t>3. Competitive rivalry. The main driver is the number and capability of competitors in the market. Many competitors, offering undifferentiated products and services, will reduce market attractiveness.</w:t>
      </w:r>
    </w:p>
    <w:p w14:paraId="0CAA000B" w14:textId="77777777" w:rsidR="002F495C" w:rsidRPr="003864A2" w:rsidRDefault="002F495C" w:rsidP="002F495C">
      <w:pPr>
        <w:shd w:val="clear" w:color="auto" w:fill="FFFFFF"/>
        <w:spacing w:after="312" w:line="240" w:lineRule="auto"/>
        <w:rPr>
          <w:rFonts w:ascii="Times New Roman" w:eastAsia="Times New Roman" w:hAnsi="Times New Roman" w:cs="Times New Roman"/>
          <w:sz w:val="24"/>
          <w:szCs w:val="24"/>
          <w:lang w:eastAsia="en-IN"/>
        </w:rPr>
      </w:pPr>
      <w:r w:rsidRPr="003864A2">
        <w:rPr>
          <w:rFonts w:ascii="Times New Roman" w:eastAsia="Times New Roman" w:hAnsi="Times New Roman" w:cs="Times New Roman"/>
          <w:sz w:val="24"/>
          <w:szCs w:val="24"/>
          <w:lang w:eastAsia="en-IN"/>
        </w:rPr>
        <w:t>4. Threat of substitution. Where close substitute products exist in a market, it increases the likelihood of customers switching to alternatives in response to price increases. This reduces both the power of suppliers and the attractiveness of the market.</w:t>
      </w:r>
    </w:p>
    <w:p w14:paraId="70D06CBA" w14:textId="77777777" w:rsidR="002F495C" w:rsidRPr="003864A2" w:rsidRDefault="002F495C" w:rsidP="002F495C">
      <w:pPr>
        <w:shd w:val="clear" w:color="auto" w:fill="FFFFFF"/>
        <w:spacing w:after="312" w:line="240" w:lineRule="auto"/>
        <w:rPr>
          <w:rFonts w:ascii="Times New Roman" w:eastAsia="Times New Roman" w:hAnsi="Times New Roman" w:cs="Times New Roman"/>
          <w:sz w:val="24"/>
          <w:szCs w:val="24"/>
          <w:lang w:eastAsia="en-IN"/>
        </w:rPr>
      </w:pPr>
      <w:r w:rsidRPr="003864A2">
        <w:rPr>
          <w:rFonts w:ascii="Times New Roman" w:eastAsia="Times New Roman" w:hAnsi="Times New Roman" w:cs="Times New Roman"/>
          <w:sz w:val="24"/>
          <w:szCs w:val="24"/>
          <w:lang w:eastAsia="en-IN"/>
        </w:rPr>
        <w:t>5. Threat of new entry. Profitable markets attract new entrants, which erodes profitability. Unless incumbents have strong and durable barriers to entry, for example, patents, economies of scale, capital requirements or government policies, then profitability will decline to a competitive rate.</w:t>
      </w:r>
    </w:p>
    <w:p w14:paraId="0BC4DA7E" w14:textId="32253816" w:rsidR="002F495C" w:rsidRPr="003864A2" w:rsidRDefault="002F495C" w:rsidP="002F495C">
      <w:pPr>
        <w:pStyle w:val="Heading2"/>
        <w:shd w:val="clear" w:color="auto" w:fill="F4F7FC"/>
        <w:spacing w:before="0"/>
        <w:rPr>
          <w:rFonts w:ascii="Times New Roman" w:hAnsi="Times New Roman" w:cs="Times New Roman"/>
          <w:color w:val="auto"/>
          <w:sz w:val="24"/>
          <w:szCs w:val="24"/>
        </w:rPr>
      </w:pPr>
      <w:r w:rsidRPr="003864A2">
        <w:rPr>
          <w:rFonts w:ascii="Times New Roman" w:hAnsi="Times New Roman" w:cs="Times New Roman"/>
          <w:color w:val="auto"/>
          <w:sz w:val="24"/>
          <w:szCs w:val="24"/>
        </w:rPr>
        <w:t xml:space="preserve">Q12] </w:t>
      </w:r>
      <w:r w:rsidRPr="003864A2">
        <w:rPr>
          <w:rStyle w:val="Strong"/>
          <w:rFonts w:ascii="Times New Roman" w:hAnsi="Times New Roman" w:cs="Times New Roman"/>
          <w:b w:val="0"/>
          <w:bCs w:val="0"/>
          <w:color w:val="auto"/>
          <w:sz w:val="24"/>
          <w:szCs w:val="24"/>
        </w:rPr>
        <w:t>Macroeconomic Influences:</w:t>
      </w:r>
    </w:p>
    <w:p w14:paraId="19FEC4C7" w14:textId="77777777" w:rsidR="002F495C" w:rsidRPr="003864A2" w:rsidRDefault="002F495C" w:rsidP="002F495C">
      <w:pPr>
        <w:pStyle w:val="NormalWeb"/>
        <w:shd w:val="clear" w:color="auto" w:fill="F4F7FC"/>
        <w:spacing w:before="0" w:beforeAutospacing="0"/>
      </w:pPr>
      <w:r w:rsidRPr="003864A2">
        <w:t>Cyclical or structural trends may have significant effects on the demand for an industry’s products or services. An industry’s sales and profitability may be impacted by gross domestic product, interest rates, credit availability, and/or inflation.</w:t>
      </w:r>
    </w:p>
    <w:p w14:paraId="5DCFD830" w14:textId="58E574C4" w:rsidR="002F495C" w:rsidRPr="003864A2" w:rsidRDefault="002F495C" w:rsidP="002F495C">
      <w:pPr>
        <w:pStyle w:val="Heading2"/>
        <w:shd w:val="clear" w:color="auto" w:fill="F4F7FC"/>
        <w:spacing w:before="0"/>
        <w:rPr>
          <w:rFonts w:ascii="Times New Roman" w:hAnsi="Times New Roman" w:cs="Times New Roman"/>
          <w:color w:val="auto"/>
          <w:sz w:val="24"/>
          <w:szCs w:val="24"/>
        </w:rPr>
      </w:pPr>
      <w:r w:rsidRPr="003864A2">
        <w:rPr>
          <w:rStyle w:val="Strong"/>
          <w:rFonts w:ascii="Times New Roman" w:hAnsi="Times New Roman" w:cs="Times New Roman"/>
          <w:b w:val="0"/>
          <w:bCs w:val="0"/>
          <w:color w:val="auto"/>
          <w:sz w:val="24"/>
          <w:szCs w:val="24"/>
        </w:rPr>
        <w:t>Technological Influences:</w:t>
      </w:r>
    </w:p>
    <w:p w14:paraId="09A597BC" w14:textId="77777777" w:rsidR="002F495C" w:rsidRPr="003864A2" w:rsidRDefault="002F495C" w:rsidP="002F495C">
      <w:pPr>
        <w:pStyle w:val="NormalWeb"/>
        <w:shd w:val="clear" w:color="auto" w:fill="F4F7FC"/>
        <w:spacing w:before="0" w:beforeAutospacing="0"/>
      </w:pPr>
      <w:r w:rsidRPr="003864A2">
        <w:t>New technologies create new or improved products that can radically change an industry and change how other industries use the products to conduct their operations.</w:t>
      </w:r>
    </w:p>
    <w:p w14:paraId="30BAC929" w14:textId="75BD55B2" w:rsidR="002F495C" w:rsidRPr="003864A2" w:rsidRDefault="002F495C" w:rsidP="002F495C">
      <w:pPr>
        <w:pStyle w:val="Heading2"/>
        <w:shd w:val="clear" w:color="auto" w:fill="F4F7FC"/>
        <w:spacing w:before="0"/>
        <w:rPr>
          <w:rFonts w:ascii="Times New Roman" w:hAnsi="Times New Roman" w:cs="Times New Roman"/>
          <w:color w:val="auto"/>
          <w:sz w:val="24"/>
          <w:szCs w:val="24"/>
        </w:rPr>
      </w:pPr>
      <w:r w:rsidRPr="003864A2">
        <w:rPr>
          <w:rStyle w:val="Strong"/>
          <w:rFonts w:ascii="Times New Roman" w:hAnsi="Times New Roman" w:cs="Times New Roman"/>
          <w:b w:val="0"/>
          <w:bCs w:val="0"/>
          <w:color w:val="auto"/>
          <w:sz w:val="24"/>
          <w:szCs w:val="24"/>
        </w:rPr>
        <w:t>Demographic Influences:</w:t>
      </w:r>
    </w:p>
    <w:p w14:paraId="08C3F6C6" w14:textId="77777777" w:rsidR="002F495C" w:rsidRPr="003864A2" w:rsidRDefault="002F495C" w:rsidP="002F495C">
      <w:pPr>
        <w:pStyle w:val="NormalWeb"/>
        <w:shd w:val="clear" w:color="auto" w:fill="F4F7FC"/>
        <w:spacing w:before="0" w:beforeAutospacing="0"/>
      </w:pPr>
      <w:r w:rsidRPr="003864A2">
        <w:t>Changes in population size, the distribution of age and gender, and other demographic characteristics may have significant effects on economic growth and the amount and types of goods and services consumed.</w:t>
      </w:r>
    </w:p>
    <w:p w14:paraId="60DECB57" w14:textId="7B8D8D57" w:rsidR="002F495C" w:rsidRPr="003864A2" w:rsidRDefault="002F495C" w:rsidP="002F495C">
      <w:pPr>
        <w:pStyle w:val="Heading2"/>
        <w:shd w:val="clear" w:color="auto" w:fill="F4F7FC"/>
        <w:spacing w:before="0"/>
        <w:rPr>
          <w:rFonts w:ascii="Times New Roman" w:hAnsi="Times New Roman" w:cs="Times New Roman"/>
          <w:color w:val="auto"/>
          <w:sz w:val="24"/>
          <w:szCs w:val="24"/>
        </w:rPr>
      </w:pPr>
      <w:r w:rsidRPr="003864A2">
        <w:rPr>
          <w:rStyle w:val="Strong"/>
          <w:rFonts w:ascii="Times New Roman" w:hAnsi="Times New Roman" w:cs="Times New Roman"/>
          <w:b w:val="0"/>
          <w:bCs w:val="0"/>
          <w:color w:val="auto"/>
          <w:sz w:val="24"/>
          <w:szCs w:val="24"/>
        </w:rPr>
        <w:t>Governmental Influences:</w:t>
      </w:r>
    </w:p>
    <w:p w14:paraId="5E2BB866" w14:textId="77777777" w:rsidR="002F495C" w:rsidRPr="003864A2" w:rsidRDefault="002F495C" w:rsidP="002F495C">
      <w:pPr>
        <w:pStyle w:val="NormalWeb"/>
        <w:shd w:val="clear" w:color="auto" w:fill="F4F7FC"/>
        <w:spacing w:before="0" w:beforeAutospacing="0"/>
      </w:pPr>
      <w:r w:rsidRPr="003864A2">
        <w:t>Governments may have a significant influence on industries through their ability to control tax rates and their status as major purchasers of goods and services from a range of industries. Governments may also exert their influence indirectly by empowering other regulatory or self-regulatory organizations to govern the affairs of an industry.</w:t>
      </w:r>
    </w:p>
    <w:p w14:paraId="4E4DFB31" w14:textId="0074303B" w:rsidR="002F495C" w:rsidRPr="003864A2" w:rsidRDefault="002F495C" w:rsidP="002F495C">
      <w:pPr>
        <w:pStyle w:val="Heading2"/>
        <w:shd w:val="clear" w:color="auto" w:fill="F4F7FC"/>
        <w:spacing w:before="0"/>
        <w:rPr>
          <w:rFonts w:ascii="Times New Roman" w:hAnsi="Times New Roman" w:cs="Times New Roman"/>
          <w:color w:val="auto"/>
          <w:sz w:val="24"/>
          <w:szCs w:val="24"/>
        </w:rPr>
      </w:pPr>
      <w:r w:rsidRPr="003864A2">
        <w:rPr>
          <w:rStyle w:val="Strong"/>
          <w:rFonts w:ascii="Times New Roman" w:hAnsi="Times New Roman" w:cs="Times New Roman"/>
          <w:b w:val="0"/>
          <w:bCs w:val="0"/>
          <w:color w:val="auto"/>
          <w:sz w:val="24"/>
          <w:szCs w:val="24"/>
        </w:rPr>
        <w:lastRenderedPageBreak/>
        <w:t>Social Influences:</w:t>
      </w:r>
    </w:p>
    <w:p w14:paraId="20AA7459" w14:textId="77777777" w:rsidR="002F495C" w:rsidRPr="003864A2" w:rsidRDefault="002F495C" w:rsidP="002F495C">
      <w:pPr>
        <w:pStyle w:val="NormalWeb"/>
        <w:shd w:val="clear" w:color="auto" w:fill="F4F7FC"/>
        <w:spacing w:before="0" w:beforeAutospacing="0"/>
      </w:pPr>
      <w:r w:rsidRPr="003864A2">
        <w:t>Societal changes involving how people work, spend their money, enjoy their leisure time, and conduct other aspects of their lives can significantly affect the sales of various industries.</w:t>
      </w:r>
    </w:p>
    <w:p w14:paraId="531D9D4F" w14:textId="57FBFBEF" w:rsidR="002F495C" w:rsidRPr="003864A2" w:rsidRDefault="002F495C" w:rsidP="009034C2">
      <w:pPr>
        <w:pStyle w:val="Heading2"/>
        <w:shd w:val="clear" w:color="auto" w:fill="F4F7FC"/>
        <w:spacing w:before="0"/>
        <w:rPr>
          <w:rFonts w:ascii="Times New Roman" w:hAnsi="Times New Roman" w:cs="Times New Roman"/>
          <w:color w:val="auto"/>
          <w:sz w:val="24"/>
          <w:szCs w:val="24"/>
        </w:rPr>
      </w:pPr>
      <w:r w:rsidRPr="003864A2">
        <w:rPr>
          <w:rFonts w:ascii="Times New Roman" w:hAnsi="Times New Roman" w:cs="Times New Roman"/>
          <w:color w:val="auto"/>
          <w:sz w:val="24"/>
          <w:szCs w:val="24"/>
        </w:rPr>
        <w:t xml:space="preserve">Q13] </w:t>
      </w:r>
    </w:p>
    <w:p w14:paraId="3228D137" w14:textId="15AD1F64" w:rsidR="002F495C" w:rsidRPr="003864A2" w:rsidRDefault="002F495C" w:rsidP="002F495C">
      <w:pPr>
        <w:pStyle w:val="Heading3"/>
        <w:shd w:val="clear" w:color="auto" w:fill="F4F7FC"/>
        <w:spacing w:before="0"/>
        <w:rPr>
          <w:rFonts w:ascii="Times New Roman" w:hAnsi="Times New Roman" w:cs="Times New Roman"/>
          <w:color w:val="auto"/>
        </w:rPr>
      </w:pPr>
      <w:r w:rsidRPr="003864A2">
        <w:rPr>
          <w:rStyle w:val="Strong"/>
          <w:rFonts w:ascii="Times New Roman" w:hAnsi="Times New Roman" w:cs="Times New Roman"/>
          <w:b w:val="0"/>
          <w:bCs w:val="0"/>
          <w:color w:val="auto"/>
        </w:rPr>
        <w:t>Cash dividend:</w:t>
      </w:r>
    </w:p>
    <w:p w14:paraId="62EF0BF0" w14:textId="0EF46BD0" w:rsidR="002F495C" w:rsidRPr="003864A2" w:rsidRDefault="002F495C" w:rsidP="002F495C">
      <w:pPr>
        <w:pStyle w:val="NormalWeb"/>
        <w:shd w:val="clear" w:color="auto" w:fill="F4F7FC"/>
        <w:spacing w:before="0" w:beforeAutospacing="0"/>
      </w:pPr>
      <w:r w:rsidRPr="003864A2">
        <w:t xml:space="preserve">A company pays regular cash dividends whenever it distributes a share of its profits in cash to its shareholders based on a regular dividend payment schedule. For example, the company may opt to pay shareholders a dividend every quarter, </w:t>
      </w:r>
      <w:r w:rsidR="006C337B" w:rsidRPr="003864A2">
        <w:t>semi-annually</w:t>
      </w:r>
      <w:r w:rsidRPr="003864A2">
        <w:t>, or annually. Thus, the company could issue an annual dividend of, say, $0.50 per share. In such a scenario, an investor who owns 100,000 common shares would receive $50,000.</w:t>
      </w:r>
    </w:p>
    <w:p w14:paraId="07A9D1AE" w14:textId="7107BBF3" w:rsidR="002F495C" w:rsidRPr="003864A2" w:rsidRDefault="002F495C" w:rsidP="002F495C">
      <w:pPr>
        <w:pStyle w:val="NormalWeb"/>
        <w:shd w:val="clear" w:color="auto" w:fill="F4F7FC"/>
        <w:spacing w:before="0" w:beforeAutospacing="0"/>
      </w:pPr>
      <w:r w:rsidRPr="003864A2">
        <w:t xml:space="preserve">Consistent cash dividend </w:t>
      </w:r>
      <w:r w:rsidR="006C337B" w:rsidRPr="003864A2">
        <w:t>pay-outs</w:t>
      </w:r>
      <w:r w:rsidRPr="003864A2">
        <w:t xml:space="preserve"> send a positive signal to the markets, indicating that the company is growing and should continue to grow and pay dividends in the future.</w:t>
      </w:r>
    </w:p>
    <w:p w14:paraId="18DDAB5F" w14:textId="2D9A04BF" w:rsidR="002F495C" w:rsidRPr="003864A2" w:rsidRDefault="002F495C" w:rsidP="002F495C">
      <w:pPr>
        <w:pStyle w:val="Heading3"/>
        <w:shd w:val="clear" w:color="auto" w:fill="F4F7FC"/>
        <w:spacing w:before="0"/>
        <w:rPr>
          <w:rFonts w:ascii="Times New Roman" w:hAnsi="Times New Roman" w:cs="Times New Roman"/>
          <w:color w:val="auto"/>
        </w:rPr>
      </w:pPr>
      <w:r w:rsidRPr="003864A2">
        <w:rPr>
          <w:rFonts w:ascii="Times New Roman" w:hAnsi="Times New Roman" w:cs="Times New Roman"/>
          <w:color w:val="auto"/>
        </w:rPr>
        <w:t>Extra dividend:</w:t>
      </w:r>
    </w:p>
    <w:p w14:paraId="0B0426F8" w14:textId="77777777" w:rsidR="002F495C" w:rsidRPr="003864A2" w:rsidRDefault="002F495C" w:rsidP="002F495C">
      <w:pPr>
        <w:pStyle w:val="NormalWeb"/>
        <w:shd w:val="clear" w:color="auto" w:fill="F4F7FC"/>
        <w:spacing w:before="0" w:beforeAutospacing="0"/>
      </w:pPr>
      <w:r w:rsidRPr="003864A2">
        <w:t>A company may also issue a dividend outside of the usual schedule to supplement the regular cash dividend with an extra payment. This is called an </w:t>
      </w:r>
      <w:r w:rsidRPr="003864A2">
        <w:rPr>
          <w:rStyle w:val="Strong"/>
          <w:b w:val="0"/>
          <w:bCs w:val="0"/>
        </w:rPr>
        <w:t>extra dividend</w:t>
      </w:r>
      <w:r w:rsidRPr="003864A2">
        <w:t> or </w:t>
      </w:r>
      <w:r w:rsidRPr="003864A2">
        <w:rPr>
          <w:rStyle w:val="Strong"/>
          <w:b w:val="0"/>
          <w:bCs w:val="0"/>
        </w:rPr>
        <w:t>special dividend</w:t>
      </w:r>
      <w:r w:rsidRPr="003864A2">
        <w:t>.</w:t>
      </w:r>
    </w:p>
    <w:p w14:paraId="3957A833" w14:textId="08B4DD8D" w:rsidR="002F495C" w:rsidRPr="003864A2" w:rsidRDefault="002F495C" w:rsidP="002F495C">
      <w:pPr>
        <w:pStyle w:val="Heading3"/>
        <w:shd w:val="clear" w:color="auto" w:fill="F4F7FC"/>
        <w:spacing w:before="0"/>
        <w:rPr>
          <w:rFonts w:ascii="Times New Roman" w:hAnsi="Times New Roman" w:cs="Times New Roman"/>
          <w:color w:val="auto"/>
        </w:rPr>
      </w:pPr>
      <w:r w:rsidRPr="003864A2">
        <w:rPr>
          <w:rStyle w:val="Strong"/>
          <w:rFonts w:ascii="Times New Roman" w:hAnsi="Times New Roman" w:cs="Times New Roman"/>
          <w:b w:val="0"/>
          <w:bCs w:val="0"/>
          <w:color w:val="auto"/>
        </w:rPr>
        <w:t>Stock dividen</w:t>
      </w:r>
      <w:r w:rsidRPr="003864A2">
        <w:rPr>
          <w:rFonts w:ascii="Times New Roman" w:hAnsi="Times New Roman" w:cs="Times New Roman"/>
          <w:color w:val="auto"/>
        </w:rPr>
        <w:t>d:</w:t>
      </w:r>
    </w:p>
    <w:p w14:paraId="72DC7787" w14:textId="77777777" w:rsidR="002F495C" w:rsidRPr="003864A2" w:rsidRDefault="002F495C" w:rsidP="002F495C">
      <w:pPr>
        <w:pStyle w:val="NormalWeb"/>
        <w:shd w:val="clear" w:color="auto" w:fill="F4F7FC"/>
        <w:spacing w:before="0" w:beforeAutospacing="0"/>
      </w:pPr>
      <w:r w:rsidRPr="003864A2">
        <w:t>Stock dividends refer to all dividend payments that are not in the form of cash. In these instances, a company chooses to distribute profits in the form of additional shares instead of using cash. For example, when a company declares a 10% stock dividend, every shareholder receives an additional 10 shares for every 100 shares they already own.</w:t>
      </w:r>
    </w:p>
    <w:p w14:paraId="0EE26F6E" w14:textId="77777777" w:rsidR="002F495C" w:rsidRPr="003864A2" w:rsidRDefault="002F495C" w:rsidP="002F495C">
      <w:pPr>
        <w:pStyle w:val="NormalWeb"/>
        <w:shd w:val="clear" w:color="auto" w:fill="F4F7FC"/>
        <w:spacing w:before="0" w:beforeAutospacing="0"/>
      </w:pPr>
      <w:r w:rsidRPr="003864A2">
        <w:t>When a company pays stock dividends, the total number of shares outstanding will increase but share value remains the same. In addition, a shareholder’s proportionate ownership in the company will remain the same. Likewise, his total cost basis will be unchanged since he did not purchase the additional shares; they were rather “given” to him. His cost per share will, however, be reduced. Therefore, stock dividends are not relevant for valuation.</w:t>
      </w:r>
    </w:p>
    <w:p w14:paraId="1FD98C54" w14:textId="1DA41ED3" w:rsidR="002F495C" w:rsidRPr="003864A2" w:rsidRDefault="002F495C" w:rsidP="002F495C">
      <w:pPr>
        <w:pStyle w:val="Heading3"/>
        <w:shd w:val="clear" w:color="auto" w:fill="F4F7FC"/>
        <w:spacing w:before="0"/>
        <w:rPr>
          <w:rFonts w:ascii="Times New Roman" w:hAnsi="Times New Roman" w:cs="Times New Roman"/>
          <w:color w:val="auto"/>
        </w:rPr>
      </w:pPr>
      <w:r w:rsidRPr="003864A2">
        <w:rPr>
          <w:rStyle w:val="Strong"/>
          <w:rFonts w:ascii="Times New Roman" w:hAnsi="Times New Roman" w:cs="Times New Roman"/>
          <w:b w:val="0"/>
          <w:bCs w:val="0"/>
          <w:color w:val="auto"/>
        </w:rPr>
        <w:t>Stock split:</w:t>
      </w:r>
    </w:p>
    <w:p w14:paraId="77E94349" w14:textId="77777777" w:rsidR="002F495C" w:rsidRPr="003864A2" w:rsidRDefault="002F495C" w:rsidP="002F495C">
      <w:pPr>
        <w:pStyle w:val="NormalWeb"/>
        <w:shd w:val="clear" w:color="auto" w:fill="F4F7FC"/>
        <w:spacing w:before="0" w:beforeAutospacing="0"/>
      </w:pPr>
      <w:r w:rsidRPr="003864A2">
        <w:t>In a stock split, a company gives its shareholders X number of shares for every Y number of shares that are owned. For example, in a two-for-one stock split, shareholders receive one additional share for every share previously owned. Thus, if a company had 20 million shares outstanding before the stock split, it will have 40 million shares outstanding after a 2-for-1 stock split.</w:t>
      </w:r>
    </w:p>
    <w:p w14:paraId="4AC74061" w14:textId="3C3F4BC3" w:rsidR="002F495C" w:rsidRPr="003864A2" w:rsidRDefault="002F495C" w:rsidP="002F495C">
      <w:pPr>
        <w:pStyle w:val="Heading3"/>
        <w:shd w:val="clear" w:color="auto" w:fill="F4F7FC"/>
        <w:spacing w:before="0"/>
        <w:rPr>
          <w:rFonts w:ascii="Times New Roman" w:hAnsi="Times New Roman" w:cs="Times New Roman"/>
          <w:color w:val="auto"/>
        </w:rPr>
      </w:pPr>
      <w:r w:rsidRPr="003864A2">
        <w:rPr>
          <w:rStyle w:val="Strong"/>
          <w:rFonts w:ascii="Times New Roman" w:hAnsi="Times New Roman" w:cs="Times New Roman"/>
          <w:b w:val="0"/>
          <w:bCs w:val="0"/>
          <w:color w:val="auto"/>
        </w:rPr>
        <w:t>Reverse stock split:</w:t>
      </w:r>
    </w:p>
    <w:p w14:paraId="58FDA2A0" w14:textId="77777777" w:rsidR="002F495C" w:rsidRPr="003864A2" w:rsidRDefault="002F495C" w:rsidP="002F495C">
      <w:pPr>
        <w:pStyle w:val="NormalWeb"/>
        <w:shd w:val="clear" w:color="auto" w:fill="F4F7FC"/>
        <w:spacing w:before="0" w:beforeAutospacing="0"/>
      </w:pPr>
      <w:r w:rsidRPr="003864A2">
        <w:t>A reverse stock split is the opposite of a stock split. In a reverse stock split, a company reduces the number of shares outstanding by a set multiple. For example, if a company announces a 1-for-4 reverse stock split, shareholders will receive 1 share for every 4 they own. Thus, an investor with 10,000 old shares will end up with just 2,500 new shares.</w:t>
      </w:r>
    </w:p>
    <w:p w14:paraId="1554C8B7" w14:textId="77777777" w:rsidR="002F495C" w:rsidRPr="003864A2" w:rsidRDefault="002F495C" w:rsidP="002F495C">
      <w:pPr>
        <w:pStyle w:val="NormalWeb"/>
        <w:shd w:val="clear" w:color="auto" w:fill="F4F7FC"/>
        <w:spacing w:before="0" w:beforeAutospacing="0"/>
      </w:pPr>
      <w:r w:rsidRPr="003864A2">
        <w:t>A reverse stock split results in an increase in the price per share but does not affect a company’s market value or shareholders’ total cost basis. For example, the same investor owning 10,000 shares at $1 will now have 2,500 shares worth $4. However, his investment in dollar terms remains $10,000.</w:t>
      </w:r>
    </w:p>
    <w:p w14:paraId="70A4E03B" w14:textId="3131A10B" w:rsidR="002F495C" w:rsidRPr="003864A2" w:rsidRDefault="002F495C" w:rsidP="002F495C">
      <w:pPr>
        <w:pStyle w:val="Heading3"/>
        <w:shd w:val="clear" w:color="auto" w:fill="F4F7FC"/>
        <w:spacing w:before="0"/>
        <w:rPr>
          <w:rFonts w:ascii="Times New Roman" w:hAnsi="Times New Roman" w:cs="Times New Roman"/>
          <w:color w:val="auto"/>
        </w:rPr>
      </w:pPr>
      <w:r w:rsidRPr="003864A2">
        <w:rPr>
          <w:rStyle w:val="Strong"/>
          <w:rFonts w:ascii="Times New Roman" w:hAnsi="Times New Roman" w:cs="Times New Roman"/>
          <w:b w:val="0"/>
          <w:bCs w:val="0"/>
          <w:color w:val="auto"/>
        </w:rPr>
        <w:lastRenderedPageBreak/>
        <w:t>Share repurchase</w:t>
      </w:r>
      <w:r w:rsidR="009034C2" w:rsidRPr="003864A2">
        <w:rPr>
          <w:rStyle w:val="Strong"/>
          <w:rFonts w:ascii="Times New Roman" w:hAnsi="Times New Roman" w:cs="Times New Roman"/>
          <w:b w:val="0"/>
          <w:bCs w:val="0"/>
          <w:color w:val="auto"/>
        </w:rPr>
        <w:t>:</w:t>
      </w:r>
    </w:p>
    <w:p w14:paraId="003B29C7" w14:textId="77777777" w:rsidR="002F495C" w:rsidRPr="003864A2" w:rsidRDefault="002F495C" w:rsidP="002F495C">
      <w:pPr>
        <w:pStyle w:val="NormalWeb"/>
        <w:shd w:val="clear" w:color="auto" w:fill="F4F7FC"/>
        <w:spacing w:before="0" w:beforeAutospacing="0"/>
      </w:pPr>
      <w:r w:rsidRPr="003864A2">
        <w:t>In a share repurchase, the company uses cash to buy back its own shares. Once repurchased, the shares do not participate in subsequent voting or dividend issues. The shares are also not considered when computing the earnings per share.</w:t>
      </w:r>
    </w:p>
    <w:p w14:paraId="78BE71F5" w14:textId="77777777" w:rsidR="002F495C" w:rsidRPr="003864A2" w:rsidRDefault="002F495C" w:rsidP="002F495C">
      <w:pPr>
        <w:pStyle w:val="NormalWeb"/>
        <w:shd w:val="clear" w:color="auto" w:fill="F4F7FC"/>
        <w:spacing w:before="0" w:beforeAutospacing="0"/>
      </w:pPr>
      <w:r w:rsidRPr="003864A2">
        <w:t>A share repurchase is viewed as equivalent to the payment of cash dividends of equal value in terms of the effect on shareholder’s wealth, all other things being equal. It sends the message that the share may be undervalued. It can also be preferred to cash dividends when tax rates on dividends exceed tax rates on capital gains.</w:t>
      </w:r>
    </w:p>
    <w:p w14:paraId="591FA8F7" w14:textId="30C4D7A3" w:rsidR="006C337B" w:rsidRPr="003864A2" w:rsidRDefault="006C337B" w:rsidP="006C337B">
      <w:pPr>
        <w:pStyle w:val="comp"/>
        <w:shd w:val="clear" w:color="auto" w:fill="FFFFFF"/>
        <w:spacing w:before="0" w:beforeAutospacing="0"/>
      </w:pPr>
      <w:r w:rsidRPr="003864A2">
        <w:t xml:space="preserve">Q14] </w:t>
      </w:r>
      <w:r w:rsidRPr="003864A2">
        <w:rPr>
          <w:shd w:val="clear" w:color="auto" w:fill="FFFFFF"/>
        </w:rPr>
        <w:t>Free cash flow to equity is a measure of how much cash is available to the </w:t>
      </w:r>
      <w:hyperlink r:id="rId5" w:history="1">
        <w:r w:rsidRPr="003864A2">
          <w:rPr>
            <w:rStyle w:val="Hyperlink"/>
            <w:color w:val="auto"/>
            <w:u w:val="none"/>
            <w:shd w:val="clear" w:color="auto" w:fill="FFFFFF"/>
          </w:rPr>
          <w:t>equity shareholders</w:t>
        </w:r>
      </w:hyperlink>
      <w:r w:rsidRPr="003864A2">
        <w:rPr>
          <w:shd w:val="clear" w:color="auto" w:fill="FFFFFF"/>
        </w:rPr>
        <w:t> of a company after all expenses, reinvestment, and debt are paid. FCFE is a measure of equity capital usage.</w:t>
      </w:r>
      <w:r w:rsidRPr="003864A2">
        <w:t xml:space="preserve"> Free cash flow to equity is composed of net income, </w:t>
      </w:r>
      <w:hyperlink r:id="rId6" w:history="1">
        <w:r w:rsidRPr="003864A2">
          <w:rPr>
            <w:rStyle w:val="Hyperlink"/>
            <w:color w:val="auto"/>
            <w:u w:val="none"/>
          </w:rPr>
          <w:t>capital expenditures</w:t>
        </w:r>
      </w:hyperlink>
      <w:r w:rsidRPr="003864A2">
        <w:t>, working capital, and debt. Net income is located on the company income statement. Capital expenditures can be found within the cash flows from the investing section on the cash flow statement.</w:t>
      </w:r>
    </w:p>
    <w:p w14:paraId="2EA1EFC3" w14:textId="16196323" w:rsidR="006C337B" w:rsidRPr="003864A2" w:rsidRDefault="006C337B" w:rsidP="006C337B">
      <w:pPr>
        <w:pStyle w:val="comp"/>
        <w:shd w:val="clear" w:color="auto" w:fill="FFFFFF"/>
        <w:spacing w:before="0" w:beforeAutospacing="0"/>
      </w:pPr>
      <w:r w:rsidRPr="003864A2">
        <w:t>Working capital is also found on the cash flow statement; however, it is in the cash flows from the operations section. In general, working capital represents the difference between the company’s most current assets and liabilities.</w:t>
      </w:r>
    </w:p>
    <w:p w14:paraId="3F39F1D2" w14:textId="77777777" w:rsidR="006C337B" w:rsidRPr="003864A2" w:rsidRDefault="006C337B" w:rsidP="006C337B">
      <w:pPr>
        <w:pStyle w:val="Heading2"/>
        <w:shd w:val="clear" w:color="auto" w:fill="FFFFFF"/>
        <w:spacing w:before="0"/>
        <w:rPr>
          <w:rFonts w:ascii="Times New Roman" w:hAnsi="Times New Roman" w:cs="Times New Roman"/>
          <w:color w:val="auto"/>
          <w:sz w:val="24"/>
          <w:szCs w:val="24"/>
        </w:rPr>
      </w:pPr>
      <w:r w:rsidRPr="003864A2">
        <w:rPr>
          <w:rStyle w:val="mntl-sc-block-headingtext"/>
          <w:rFonts w:ascii="Times New Roman" w:hAnsi="Times New Roman" w:cs="Times New Roman"/>
          <w:color w:val="auto"/>
          <w:sz w:val="24"/>
          <w:szCs w:val="24"/>
        </w:rPr>
        <w:t>The Formula for FCFE</w:t>
      </w:r>
    </w:p>
    <w:p w14:paraId="2CFEDD68" w14:textId="1AA478FD" w:rsidR="006C337B" w:rsidRPr="003864A2" w:rsidRDefault="006C337B" w:rsidP="006C337B">
      <w:pPr>
        <w:pStyle w:val="comp"/>
        <w:shd w:val="clear" w:color="auto" w:fill="FFFFFF"/>
        <w:spacing w:before="0" w:beforeAutospacing="0"/>
      </w:pPr>
      <w:r w:rsidRPr="003864A2">
        <w:rPr>
          <w:rStyle w:val="mord"/>
        </w:rPr>
        <w:t>FCFE</w:t>
      </w:r>
      <w:r w:rsidRPr="003864A2">
        <w:rPr>
          <w:rStyle w:val="mrel"/>
        </w:rPr>
        <w:t>=</w:t>
      </w:r>
      <w:r w:rsidRPr="003864A2">
        <w:rPr>
          <w:rStyle w:val="mord"/>
        </w:rPr>
        <w:t xml:space="preserve">Cash from operations </w:t>
      </w:r>
      <w:r w:rsidRPr="003864A2">
        <w:rPr>
          <w:rStyle w:val="mbin"/>
        </w:rPr>
        <w:t xml:space="preserve">– </w:t>
      </w:r>
      <w:r w:rsidRPr="003864A2">
        <w:rPr>
          <w:rStyle w:val="mord"/>
        </w:rPr>
        <w:t xml:space="preserve">Capex </w:t>
      </w:r>
      <w:r w:rsidRPr="003864A2">
        <w:rPr>
          <w:rStyle w:val="mbin"/>
        </w:rPr>
        <w:t xml:space="preserve">+ </w:t>
      </w:r>
      <w:r w:rsidRPr="003864A2">
        <w:rPr>
          <w:rStyle w:val="mord"/>
        </w:rPr>
        <w:t>Net debt issued</w:t>
      </w:r>
    </w:p>
    <w:p w14:paraId="6272F493" w14:textId="77777777" w:rsidR="006C337B" w:rsidRPr="003864A2" w:rsidRDefault="006C337B" w:rsidP="006C337B">
      <w:pPr>
        <w:pStyle w:val="comp"/>
        <w:shd w:val="clear" w:color="auto" w:fill="FFFFFF"/>
        <w:spacing w:before="0" w:beforeAutospacing="0"/>
      </w:pPr>
      <w:r w:rsidRPr="003864A2">
        <w:t>Analysts use FCFE to determine if dividend payments and stock repurchases are paid for with free cash flow to equity or some other form of financing. Investors want to see a dividend payment and share repurchase that is fully paid by FCFE.</w:t>
      </w:r>
    </w:p>
    <w:p w14:paraId="6F1D99C5" w14:textId="77777777" w:rsidR="006C337B" w:rsidRPr="003864A2" w:rsidRDefault="006C337B" w:rsidP="006C337B">
      <w:pPr>
        <w:pStyle w:val="comp"/>
        <w:shd w:val="clear" w:color="auto" w:fill="FFFFFF"/>
        <w:spacing w:before="0" w:beforeAutospacing="0"/>
      </w:pPr>
      <w:r w:rsidRPr="003864A2">
        <w:t>If FCFE is less than the dividend payment and the cost to buy back shares, the company is funding with either debt or existing capital or issuing new securities. Existing capital includes </w:t>
      </w:r>
      <w:hyperlink r:id="rId7" w:history="1">
        <w:r w:rsidRPr="003864A2">
          <w:rPr>
            <w:rStyle w:val="Hyperlink"/>
            <w:color w:val="auto"/>
            <w:u w:val="none"/>
          </w:rPr>
          <w:t>retained earnings</w:t>
        </w:r>
      </w:hyperlink>
      <w:r w:rsidRPr="003864A2">
        <w:t> made in previous periods.</w:t>
      </w:r>
    </w:p>
    <w:p w14:paraId="66FCE3B8" w14:textId="77777777" w:rsidR="006C337B" w:rsidRPr="003864A2" w:rsidRDefault="006C337B" w:rsidP="006C337B">
      <w:pPr>
        <w:pStyle w:val="comp"/>
        <w:shd w:val="clear" w:color="auto" w:fill="FFFFFF"/>
        <w:spacing w:before="0" w:beforeAutospacing="0"/>
      </w:pPr>
    </w:p>
    <w:p w14:paraId="4ECC7F75" w14:textId="1577D220" w:rsidR="00412DDE" w:rsidRPr="003864A2" w:rsidRDefault="00412DDE" w:rsidP="00412DDE">
      <w:pPr>
        <w:rPr>
          <w:rFonts w:ascii="Times New Roman" w:hAnsi="Times New Roman" w:cs="Times New Roman"/>
          <w:sz w:val="24"/>
          <w:szCs w:val="24"/>
          <w:lang w:val="en-US"/>
        </w:rPr>
      </w:pPr>
    </w:p>
    <w:sectPr w:rsidR="00412DDE" w:rsidRPr="00386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E151C"/>
    <w:multiLevelType w:val="multilevel"/>
    <w:tmpl w:val="2D54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2459B5"/>
    <w:multiLevelType w:val="multilevel"/>
    <w:tmpl w:val="676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9757D8"/>
    <w:multiLevelType w:val="multilevel"/>
    <w:tmpl w:val="7700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1772B1"/>
    <w:multiLevelType w:val="multilevel"/>
    <w:tmpl w:val="8E14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A75EA8"/>
    <w:multiLevelType w:val="multilevel"/>
    <w:tmpl w:val="1B30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BB2E9A"/>
    <w:multiLevelType w:val="multilevel"/>
    <w:tmpl w:val="11F0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C8"/>
    <w:rsid w:val="000670B9"/>
    <w:rsid w:val="000B52AC"/>
    <w:rsid w:val="0010079C"/>
    <w:rsid w:val="00172B32"/>
    <w:rsid w:val="00201AA9"/>
    <w:rsid w:val="00223A0D"/>
    <w:rsid w:val="002F495C"/>
    <w:rsid w:val="003864A2"/>
    <w:rsid w:val="00412DDE"/>
    <w:rsid w:val="00422999"/>
    <w:rsid w:val="00462B02"/>
    <w:rsid w:val="00531668"/>
    <w:rsid w:val="00577469"/>
    <w:rsid w:val="0059079C"/>
    <w:rsid w:val="00593981"/>
    <w:rsid w:val="005C4D5B"/>
    <w:rsid w:val="00632C0F"/>
    <w:rsid w:val="00634A38"/>
    <w:rsid w:val="006754C2"/>
    <w:rsid w:val="006C337B"/>
    <w:rsid w:val="009034C2"/>
    <w:rsid w:val="00A86A40"/>
    <w:rsid w:val="00BE7A45"/>
    <w:rsid w:val="00C50ECA"/>
    <w:rsid w:val="00D41930"/>
    <w:rsid w:val="00DB4A82"/>
    <w:rsid w:val="00EC21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7253"/>
  <w15:chartTrackingRefBased/>
  <w15:docId w15:val="{438130AB-ABC5-47C6-9107-2C9EBD33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23A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49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23A0D"/>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77469"/>
    <w:rPr>
      <w:i/>
      <w:iCs/>
    </w:rPr>
  </w:style>
  <w:style w:type="character" w:styleId="Strong">
    <w:name w:val="Strong"/>
    <w:basedOn w:val="DefaultParagraphFont"/>
    <w:uiPriority w:val="22"/>
    <w:qFormat/>
    <w:rsid w:val="00BE7A45"/>
    <w:rPr>
      <w:b/>
      <w:bCs/>
    </w:rPr>
  </w:style>
  <w:style w:type="paragraph" w:styleId="NormalWeb">
    <w:name w:val="Normal (Web)"/>
    <w:basedOn w:val="Normal"/>
    <w:uiPriority w:val="99"/>
    <w:semiHidden/>
    <w:unhideWhenUsed/>
    <w:rsid w:val="00BE7A4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rsid w:val="00223A0D"/>
    <w:rPr>
      <w:rFonts w:ascii="Times New Roman" w:eastAsia="Times New Roman" w:hAnsi="Times New Roman" w:cs="Times New Roman"/>
      <w:b/>
      <w:bCs/>
      <w:sz w:val="24"/>
      <w:szCs w:val="24"/>
      <w:lang w:eastAsia="en-IN"/>
    </w:rPr>
  </w:style>
  <w:style w:type="character" w:styleId="Hyperlink">
    <w:name w:val="Hyperlink"/>
    <w:basedOn w:val="DefaultParagraphFont"/>
    <w:uiPriority w:val="99"/>
    <w:semiHidden/>
    <w:unhideWhenUsed/>
    <w:rsid w:val="00223A0D"/>
    <w:rPr>
      <w:color w:val="0000FF"/>
      <w:u w:val="single"/>
    </w:rPr>
  </w:style>
  <w:style w:type="character" w:customStyle="1" w:styleId="Heading2Char">
    <w:name w:val="Heading 2 Char"/>
    <w:basedOn w:val="DefaultParagraphFont"/>
    <w:link w:val="Heading2"/>
    <w:uiPriority w:val="9"/>
    <w:rsid w:val="00223A0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100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F495C"/>
    <w:rPr>
      <w:rFonts w:asciiTheme="majorHAnsi" w:eastAsiaTheme="majorEastAsia" w:hAnsiTheme="majorHAnsi" w:cstheme="majorBidi"/>
      <w:color w:val="1F3763" w:themeColor="accent1" w:themeShade="7F"/>
      <w:sz w:val="24"/>
      <w:szCs w:val="24"/>
    </w:rPr>
  </w:style>
  <w:style w:type="paragraph" w:customStyle="1" w:styleId="comp">
    <w:name w:val="comp"/>
    <w:basedOn w:val="Normal"/>
    <w:rsid w:val="006C337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ntl-sc-block-headingtext">
    <w:name w:val="mntl-sc-block-heading__text"/>
    <w:basedOn w:val="DefaultParagraphFont"/>
    <w:rsid w:val="006C337B"/>
  </w:style>
  <w:style w:type="character" w:customStyle="1" w:styleId="katex-mathml">
    <w:name w:val="katex-mathml"/>
    <w:basedOn w:val="DefaultParagraphFont"/>
    <w:rsid w:val="006C337B"/>
  </w:style>
  <w:style w:type="character" w:customStyle="1" w:styleId="mord">
    <w:name w:val="mord"/>
    <w:basedOn w:val="DefaultParagraphFont"/>
    <w:rsid w:val="006C337B"/>
  </w:style>
  <w:style w:type="character" w:customStyle="1" w:styleId="mrel">
    <w:name w:val="mrel"/>
    <w:basedOn w:val="DefaultParagraphFont"/>
    <w:rsid w:val="006C337B"/>
  </w:style>
  <w:style w:type="character" w:customStyle="1" w:styleId="mbin">
    <w:name w:val="mbin"/>
    <w:basedOn w:val="DefaultParagraphFont"/>
    <w:rsid w:val="006C3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9609">
      <w:bodyDiv w:val="1"/>
      <w:marLeft w:val="0"/>
      <w:marRight w:val="0"/>
      <w:marTop w:val="0"/>
      <w:marBottom w:val="0"/>
      <w:divBdr>
        <w:top w:val="none" w:sz="0" w:space="0" w:color="auto"/>
        <w:left w:val="none" w:sz="0" w:space="0" w:color="auto"/>
        <w:bottom w:val="none" w:sz="0" w:space="0" w:color="auto"/>
        <w:right w:val="none" w:sz="0" w:space="0" w:color="auto"/>
      </w:divBdr>
    </w:div>
    <w:div w:id="281421378">
      <w:bodyDiv w:val="1"/>
      <w:marLeft w:val="0"/>
      <w:marRight w:val="0"/>
      <w:marTop w:val="0"/>
      <w:marBottom w:val="0"/>
      <w:divBdr>
        <w:top w:val="none" w:sz="0" w:space="0" w:color="auto"/>
        <w:left w:val="none" w:sz="0" w:space="0" w:color="auto"/>
        <w:bottom w:val="none" w:sz="0" w:space="0" w:color="auto"/>
        <w:right w:val="none" w:sz="0" w:space="0" w:color="auto"/>
      </w:divBdr>
    </w:div>
    <w:div w:id="433405872">
      <w:bodyDiv w:val="1"/>
      <w:marLeft w:val="0"/>
      <w:marRight w:val="0"/>
      <w:marTop w:val="0"/>
      <w:marBottom w:val="0"/>
      <w:divBdr>
        <w:top w:val="none" w:sz="0" w:space="0" w:color="auto"/>
        <w:left w:val="none" w:sz="0" w:space="0" w:color="auto"/>
        <w:bottom w:val="none" w:sz="0" w:space="0" w:color="auto"/>
        <w:right w:val="none" w:sz="0" w:space="0" w:color="auto"/>
      </w:divBdr>
    </w:div>
    <w:div w:id="912354412">
      <w:bodyDiv w:val="1"/>
      <w:marLeft w:val="0"/>
      <w:marRight w:val="0"/>
      <w:marTop w:val="0"/>
      <w:marBottom w:val="0"/>
      <w:divBdr>
        <w:top w:val="none" w:sz="0" w:space="0" w:color="auto"/>
        <w:left w:val="none" w:sz="0" w:space="0" w:color="auto"/>
        <w:bottom w:val="none" w:sz="0" w:space="0" w:color="auto"/>
        <w:right w:val="none" w:sz="0" w:space="0" w:color="auto"/>
      </w:divBdr>
    </w:div>
    <w:div w:id="1127234510">
      <w:bodyDiv w:val="1"/>
      <w:marLeft w:val="0"/>
      <w:marRight w:val="0"/>
      <w:marTop w:val="0"/>
      <w:marBottom w:val="0"/>
      <w:divBdr>
        <w:top w:val="none" w:sz="0" w:space="0" w:color="auto"/>
        <w:left w:val="none" w:sz="0" w:space="0" w:color="auto"/>
        <w:bottom w:val="none" w:sz="0" w:space="0" w:color="auto"/>
        <w:right w:val="none" w:sz="0" w:space="0" w:color="auto"/>
      </w:divBdr>
    </w:div>
    <w:div w:id="1217090127">
      <w:bodyDiv w:val="1"/>
      <w:marLeft w:val="0"/>
      <w:marRight w:val="0"/>
      <w:marTop w:val="0"/>
      <w:marBottom w:val="0"/>
      <w:divBdr>
        <w:top w:val="none" w:sz="0" w:space="0" w:color="auto"/>
        <w:left w:val="none" w:sz="0" w:space="0" w:color="auto"/>
        <w:bottom w:val="none" w:sz="0" w:space="0" w:color="auto"/>
        <w:right w:val="none" w:sz="0" w:space="0" w:color="auto"/>
      </w:divBdr>
    </w:div>
    <w:div w:id="1389495618">
      <w:bodyDiv w:val="1"/>
      <w:marLeft w:val="0"/>
      <w:marRight w:val="0"/>
      <w:marTop w:val="0"/>
      <w:marBottom w:val="0"/>
      <w:divBdr>
        <w:top w:val="none" w:sz="0" w:space="0" w:color="auto"/>
        <w:left w:val="none" w:sz="0" w:space="0" w:color="auto"/>
        <w:bottom w:val="none" w:sz="0" w:space="0" w:color="auto"/>
        <w:right w:val="none" w:sz="0" w:space="0" w:color="auto"/>
      </w:divBdr>
    </w:div>
    <w:div w:id="1565985246">
      <w:bodyDiv w:val="1"/>
      <w:marLeft w:val="0"/>
      <w:marRight w:val="0"/>
      <w:marTop w:val="0"/>
      <w:marBottom w:val="0"/>
      <w:divBdr>
        <w:top w:val="none" w:sz="0" w:space="0" w:color="auto"/>
        <w:left w:val="none" w:sz="0" w:space="0" w:color="auto"/>
        <w:bottom w:val="none" w:sz="0" w:space="0" w:color="auto"/>
        <w:right w:val="none" w:sz="0" w:space="0" w:color="auto"/>
      </w:divBdr>
    </w:div>
    <w:div w:id="1789199427">
      <w:bodyDiv w:val="1"/>
      <w:marLeft w:val="0"/>
      <w:marRight w:val="0"/>
      <w:marTop w:val="0"/>
      <w:marBottom w:val="0"/>
      <w:divBdr>
        <w:top w:val="none" w:sz="0" w:space="0" w:color="auto"/>
        <w:left w:val="none" w:sz="0" w:space="0" w:color="auto"/>
        <w:bottom w:val="none" w:sz="0" w:space="0" w:color="auto"/>
        <w:right w:val="none" w:sz="0" w:space="0" w:color="auto"/>
      </w:divBdr>
    </w:div>
    <w:div w:id="2034646690">
      <w:bodyDiv w:val="1"/>
      <w:marLeft w:val="0"/>
      <w:marRight w:val="0"/>
      <w:marTop w:val="0"/>
      <w:marBottom w:val="0"/>
      <w:divBdr>
        <w:top w:val="none" w:sz="0" w:space="0" w:color="auto"/>
        <w:left w:val="none" w:sz="0" w:space="0" w:color="auto"/>
        <w:bottom w:val="none" w:sz="0" w:space="0" w:color="auto"/>
        <w:right w:val="none" w:sz="0" w:space="0" w:color="auto"/>
      </w:divBdr>
    </w:div>
    <w:div w:id="211257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estopedia.com/terms/r/retainedearning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c/capitalexpenditure.asp" TargetMode="External"/><Relationship Id="rId5" Type="http://schemas.openxmlformats.org/officeDocument/2006/relationships/hyperlink" Target="https://www.investopedia.com/ask/answers/070615/how-do-you-calculate-shareholder-equity.a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1449</TotalTime>
  <Pages>7</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Madeeha Shaikh</dc:creator>
  <cp:keywords/>
  <dc:description/>
  <cp:lastModifiedBy>paraj shah</cp:lastModifiedBy>
  <cp:revision>6</cp:revision>
  <dcterms:created xsi:type="dcterms:W3CDTF">2021-09-15T06:55:00Z</dcterms:created>
  <dcterms:modified xsi:type="dcterms:W3CDTF">2021-09-17T15:17:00Z</dcterms:modified>
</cp:coreProperties>
</file>