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21" w:rsidRDefault="003A3121" w:rsidP="00CB71FB">
      <w:pPr>
        <w:jc w:val="center"/>
        <w:rPr>
          <w:rFonts w:ascii="Copperplate Gothic Bold" w:hAnsi="Copperplate Gothic Bold"/>
          <w:sz w:val="36"/>
          <w:szCs w:val="36"/>
        </w:rPr>
      </w:pPr>
    </w:p>
    <w:p w:rsidR="00CB71FB" w:rsidRDefault="00CB71FB" w:rsidP="00CB71FB">
      <w:pPr>
        <w:jc w:val="center"/>
        <w:rPr>
          <w:rFonts w:ascii="Copperplate Gothic Bold" w:hAnsi="Copperplate Gothic Bold"/>
          <w:sz w:val="36"/>
          <w:szCs w:val="36"/>
        </w:rPr>
      </w:pPr>
    </w:p>
    <w:p w:rsidR="00CB71FB" w:rsidRDefault="00CB71FB" w:rsidP="00CB71FB">
      <w:pPr>
        <w:jc w:val="center"/>
        <w:rPr>
          <w:rFonts w:ascii="Copperplate Gothic Bold" w:hAnsi="Copperplate Gothic Bold"/>
          <w:sz w:val="36"/>
          <w:szCs w:val="36"/>
        </w:rPr>
      </w:pPr>
    </w:p>
    <w:p w:rsidR="00CB71FB" w:rsidRDefault="00B4530F" w:rsidP="00CB71FB">
      <w:pPr>
        <w:jc w:val="center"/>
        <w:rPr>
          <w:rFonts w:ascii="Copperplate Gothic Bold" w:hAnsi="Copperplate Gothic Bold"/>
          <w:sz w:val="36"/>
          <w:szCs w:val="36"/>
        </w:rPr>
      </w:pPr>
      <w:r>
        <w:rPr>
          <w:rFonts w:ascii="Copperplate Gothic Bold" w:hAnsi="Copperplate Gothic Bold"/>
          <w:sz w:val="36"/>
          <w:szCs w:val="36"/>
        </w:rPr>
        <w:t>Business Finance-</w:t>
      </w:r>
      <w:bookmarkStart w:id="0" w:name="_GoBack"/>
      <w:bookmarkEnd w:id="0"/>
      <w:r w:rsidR="00CB71FB">
        <w:rPr>
          <w:rFonts w:ascii="Copperplate Gothic Bold" w:hAnsi="Copperplate Gothic Bold"/>
          <w:sz w:val="36"/>
          <w:szCs w:val="36"/>
        </w:rPr>
        <w:t>1</w:t>
      </w:r>
    </w:p>
    <w:p w:rsidR="00CB71FB" w:rsidRDefault="00CB71FB" w:rsidP="00CB71FB">
      <w:pPr>
        <w:jc w:val="center"/>
        <w:rPr>
          <w:rFonts w:ascii="Copperplate Gothic Bold" w:hAnsi="Copperplate Gothic Bold"/>
          <w:sz w:val="36"/>
          <w:szCs w:val="36"/>
        </w:rPr>
      </w:pPr>
      <w:r>
        <w:rPr>
          <w:rFonts w:ascii="Copperplate Gothic Bold" w:hAnsi="Copperplate Gothic Bold"/>
          <w:sz w:val="36"/>
          <w:szCs w:val="36"/>
        </w:rPr>
        <w:t>Assignment 1</w:t>
      </w:r>
    </w:p>
    <w:p w:rsidR="00CB71FB" w:rsidRDefault="00CB71FB" w:rsidP="00CB71FB">
      <w:pPr>
        <w:jc w:val="center"/>
        <w:rPr>
          <w:rFonts w:ascii="Copperplate Gothic Bold" w:hAnsi="Copperplate Gothic Bold"/>
          <w:sz w:val="36"/>
          <w:szCs w:val="36"/>
        </w:rPr>
      </w:pPr>
    </w:p>
    <w:p w:rsidR="00CB71FB" w:rsidRDefault="00CB71FB" w:rsidP="00CB71FB">
      <w:pPr>
        <w:jc w:val="center"/>
        <w:rPr>
          <w:rFonts w:ascii="Copperplate Gothic Bold" w:hAnsi="Copperplate Gothic Bold"/>
          <w:sz w:val="36"/>
          <w:szCs w:val="36"/>
        </w:rPr>
      </w:pPr>
    </w:p>
    <w:p w:rsidR="00CB71FB" w:rsidRDefault="00CB71FB" w:rsidP="00CB71FB">
      <w:pPr>
        <w:jc w:val="center"/>
        <w:rPr>
          <w:rFonts w:ascii="Copperplate Gothic Bold" w:hAnsi="Copperplate Gothic Bold"/>
          <w:sz w:val="36"/>
          <w:szCs w:val="36"/>
        </w:rPr>
      </w:pPr>
      <w:r>
        <w:rPr>
          <w:rFonts w:ascii="Copperplate Gothic Bold" w:hAnsi="Copperplate Gothic Bold"/>
          <w:sz w:val="36"/>
          <w:szCs w:val="36"/>
        </w:rPr>
        <w:t xml:space="preserve">Name: </w:t>
      </w:r>
      <w:proofErr w:type="spellStart"/>
      <w:r>
        <w:rPr>
          <w:rFonts w:ascii="Copperplate Gothic Bold" w:hAnsi="Copperplate Gothic Bold"/>
          <w:sz w:val="36"/>
          <w:szCs w:val="36"/>
        </w:rPr>
        <w:t>Shagun</w:t>
      </w:r>
      <w:proofErr w:type="spellEnd"/>
      <w:r>
        <w:rPr>
          <w:rFonts w:ascii="Copperplate Gothic Bold" w:hAnsi="Copperplate Gothic Bold"/>
          <w:sz w:val="36"/>
          <w:szCs w:val="36"/>
        </w:rPr>
        <w:t xml:space="preserve"> </w:t>
      </w:r>
      <w:proofErr w:type="spellStart"/>
      <w:r>
        <w:rPr>
          <w:rFonts w:ascii="Copperplate Gothic Bold" w:hAnsi="Copperplate Gothic Bold"/>
          <w:sz w:val="36"/>
          <w:szCs w:val="36"/>
        </w:rPr>
        <w:t>Alag</w:t>
      </w:r>
      <w:proofErr w:type="spellEnd"/>
    </w:p>
    <w:p w:rsidR="00CB71FB" w:rsidRDefault="00CB71FB" w:rsidP="00CB71FB">
      <w:pPr>
        <w:jc w:val="center"/>
        <w:rPr>
          <w:rFonts w:ascii="Copperplate Gothic Bold" w:hAnsi="Copperplate Gothic Bold"/>
          <w:sz w:val="36"/>
          <w:szCs w:val="36"/>
        </w:rPr>
      </w:pPr>
      <w:r>
        <w:rPr>
          <w:rFonts w:ascii="Copperplate Gothic Bold" w:hAnsi="Copperplate Gothic Bold"/>
          <w:sz w:val="36"/>
          <w:szCs w:val="36"/>
        </w:rPr>
        <w:t>Roll No.: 95</w:t>
      </w:r>
    </w:p>
    <w:p w:rsidR="00CB71FB" w:rsidRDefault="00CB71FB" w:rsidP="00CB71FB">
      <w:pPr>
        <w:jc w:val="center"/>
        <w:rPr>
          <w:rFonts w:ascii="Copperplate Gothic Bold" w:hAnsi="Copperplate Gothic Bold"/>
          <w:sz w:val="36"/>
          <w:szCs w:val="36"/>
        </w:rPr>
      </w:pPr>
      <w:r>
        <w:rPr>
          <w:rFonts w:ascii="Copperplate Gothic Bold" w:hAnsi="Copperplate Gothic Bold"/>
          <w:sz w:val="36"/>
          <w:szCs w:val="36"/>
        </w:rPr>
        <w:t>Section: B (FY)</w:t>
      </w:r>
    </w:p>
    <w:p w:rsidR="00CB71FB" w:rsidRDefault="00CB71FB" w:rsidP="00CB71FB">
      <w:pPr>
        <w:jc w:val="center"/>
        <w:rPr>
          <w:rFonts w:cstheme="minorHAnsi"/>
          <w:sz w:val="28"/>
          <w:szCs w:val="28"/>
        </w:rPr>
      </w:pPr>
    </w:p>
    <w:p w:rsidR="00CB71FB" w:rsidRDefault="00CB71FB" w:rsidP="00CB71FB">
      <w:pPr>
        <w:jc w:val="center"/>
        <w:rPr>
          <w:rFonts w:cstheme="minorHAnsi"/>
          <w:sz w:val="28"/>
          <w:szCs w:val="28"/>
        </w:rPr>
      </w:pPr>
    </w:p>
    <w:p w:rsidR="00CB71FB" w:rsidRDefault="00CB71FB" w:rsidP="00CB71FB">
      <w:pPr>
        <w:jc w:val="center"/>
        <w:rPr>
          <w:rFonts w:cstheme="minorHAnsi"/>
          <w:sz w:val="28"/>
          <w:szCs w:val="28"/>
        </w:rPr>
      </w:pPr>
    </w:p>
    <w:p w:rsidR="00CB71FB" w:rsidRDefault="00CB71FB" w:rsidP="00CB71FB">
      <w:pPr>
        <w:jc w:val="center"/>
        <w:rPr>
          <w:rFonts w:cstheme="minorHAnsi"/>
          <w:sz w:val="28"/>
          <w:szCs w:val="28"/>
        </w:rPr>
      </w:pPr>
    </w:p>
    <w:p w:rsidR="00CB71FB" w:rsidRDefault="00CB71FB" w:rsidP="00CB71FB">
      <w:pPr>
        <w:pStyle w:val="ListParagraph"/>
        <w:numPr>
          <w:ilvl w:val="0"/>
          <w:numId w:val="1"/>
        </w:numPr>
        <w:rPr>
          <w:rFonts w:cstheme="minorHAnsi"/>
          <w:sz w:val="28"/>
          <w:szCs w:val="28"/>
        </w:rPr>
      </w:pPr>
      <w:r>
        <w:rPr>
          <w:rFonts w:cstheme="minorHAnsi"/>
          <w:sz w:val="28"/>
          <w:szCs w:val="28"/>
        </w:rPr>
        <w:lastRenderedPageBreak/>
        <w:t>The similarities and differences in a Partnership and an LLP are as follows:</w:t>
      </w:r>
    </w:p>
    <w:p w:rsidR="00CB71FB" w:rsidRDefault="00CB71FB" w:rsidP="00CB71FB">
      <w:pPr>
        <w:pStyle w:val="ListParagraph"/>
        <w:numPr>
          <w:ilvl w:val="0"/>
          <w:numId w:val="2"/>
        </w:numPr>
        <w:rPr>
          <w:rFonts w:cstheme="minorHAnsi"/>
          <w:sz w:val="28"/>
          <w:szCs w:val="28"/>
        </w:rPr>
      </w:pPr>
      <w:r>
        <w:rPr>
          <w:rFonts w:cstheme="minorHAnsi"/>
          <w:sz w:val="28"/>
          <w:szCs w:val="28"/>
        </w:rPr>
        <w:t>Similarities:</w:t>
      </w:r>
    </w:p>
    <w:p w:rsidR="003629F7" w:rsidRDefault="003629F7" w:rsidP="003629F7">
      <w:pPr>
        <w:pStyle w:val="ListParagraph"/>
        <w:numPr>
          <w:ilvl w:val="0"/>
          <w:numId w:val="3"/>
        </w:numPr>
        <w:rPr>
          <w:rFonts w:cstheme="minorHAnsi"/>
          <w:sz w:val="28"/>
          <w:szCs w:val="28"/>
        </w:rPr>
      </w:pPr>
      <w:r>
        <w:rPr>
          <w:rFonts w:cstheme="minorHAnsi"/>
          <w:sz w:val="28"/>
          <w:szCs w:val="28"/>
        </w:rPr>
        <w:t>They are both governed by a partnership agreement.</w:t>
      </w:r>
    </w:p>
    <w:p w:rsidR="003629F7" w:rsidRDefault="003629F7" w:rsidP="003629F7">
      <w:pPr>
        <w:pStyle w:val="ListParagraph"/>
        <w:numPr>
          <w:ilvl w:val="0"/>
          <w:numId w:val="3"/>
        </w:numPr>
        <w:rPr>
          <w:rFonts w:cstheme="minorHAnsi"/>
          <w:sz w:val="28"/>
          <w:szCs w:val="28"/>
        </w:rPr>
      </w:pPr>
      <w:r>
        <w:rPr>
          <w:rFonts w:cstheme="minorHAnsi"/>
          <w:sz w:val="28"/>
          <w:szCs w:val="28"/>
        </w:rPr>
        <w:t>An LLP is taxed in the same way as a partnership.</w:t>
      </w:r>
    </w:p>
    <w:p w:rsidR="003629F7" w:rsidRDefault="003629F7" w:rsidP="003629F7">
      <w:pPr>
        <w:pStyle w:val="ListParagraph"/>
        <w:numPr>
          <w:ilvl w:val="0"/>
          <w:numId w:val="2"/>
        </w:numPr>
        <w:rPr>
          <w:rFonts w:cstheme="minorHAnsi"/>
          <w:sz w:val="28"/>
          <w:szCs w:val="28"/>
        </w:rPr>
      </w:pPr>
      <w:r>
        <w:rPr>
          <w:rFonts w:cstheme="minorHAnsi"/>
          <w:sz w:val="28"/>
          <w:szCs w:val="28"/>
        </w:rPr>
        <w:t>Differences:</w:t>
      </w:r>
    </w:p>
    <w:p w:rsidR="000F40CF" w:rsidRPr="000F40CF" w:rsidRDefault="003629F7" w:rsidP="000F40CF">
      <w:pPr>
        <w:pStyle w:val="ListParagraph"/>
        <w:numPr>
          <w:ilvl w:val="0"/>
          <w:numId w:val="4"/>
        </w:numPr>
        <w:rPr>
          <w:rFonts w:cstheme="minorHAnsi"/>
          <w:sz w:val="28"/>
          <w:szCs w:val="28"/>
        </w:rPr>
      </w:pPr>
      <w:r>
        <w:rPr>
          <w:rFonts w:cstheme="minorHAnsi"/>
          <w:sz w:val="28"/>
          <w:szCs w:val="28"/>
        </w:rPr>
        <w:t xml:space="preserve">In a partnership, all the partners are ‘severally liable’, so they might need to use their personal assets to repay liabilities if the need arises. Whereas, in an LLP, </w:t>
      </w:r>
      <w:r w:rsidR="000F40CF">
        <w:rPr>
          <w:rFonts w:cstheme="minorHAnsi"/>
          <w:sz w:val="28"/>
          <w:szCs w:val="28"/>
        </w:rPr>
        <w:t>the liability of the members is limited and they are not ‘severally liable’ to pay of the firms debts.</w:t>
      </w:r>
    </w:p>
    <w:p w:rsidR="00CB71FB" w:rsidRDefault="00CB71FB" w:rsidP="000F40CF">
      <w:pPr>
        <w:rPr>
          <w:rFonts w:cstheme="minorHAnsi"/>
          <w:sz w:val="28"/>
          <w:szCs w:val="28"/>
        </w:rPr>
      </w:pPr>
    </w:p>
    <w:p w:rsidR="00FA16FA" w:rsidRDefault="00BD1D7F" w:rsidP="000F40CF">
      <w:pPr>
        <w:pStyle w:val="ListParagraph"/>
        <w:numPr>
          <w:ilvl w:val="0"/>
          <w:numId w:val="1"/>
        </w:numPr>
        <w:rPr>
          <w:rFonts w:cstheme="minorHAnsi"/>
          <w:sz w:val="28"/>
          <w:szCs w:val="28"/>
        </w:rPr>
      </w:pPr>
      <w:r>
        <w:rPr>
          <w:rFonts w:cstheme="minorHAnsi"/>
          <w:sz w:val="28"/>
          <w:szCs w:val="28"/>
        </w:rPr>
        <w:t xml:space="preserve">I agree with the view that shareholders invest in companies that have higher earnings. Since higher earnings means that the possibility of getting returns is also high. Though not all companies always give out all of their profits and often retain a lot of it. </w:t>
      </w:r>
      <w:r w:rsidR="00FA16FA">
        <w:rPr>
          <w:rFonts w:cstheme="minorHAnsi"/>
          <w:sz w:val="28"/>
          <w:szCs w:val="28"/>
        </w:rPr>
        <w:t>T</w:t>
      </w:r>
      <w:r>
        <w:rPr>
          <w:rFonts w:cstheme="minorHAnsi"/>
          <w:sz w:val="28"/>
          <w:szCs w:val="28"/>
        </w:rPr>
        <w:t>hat is not the only reason</w:t>
      </w:r>
      <w:r w:rsidR="00FA16FA">
        <w:rPr>
          <w:rFonts w:cstheme="minorHAnsi"/>
          <w:sz w:val="28"/>
          <w:szCs w:val="28"/>
        </w:rPr>
        <w:t xml:space="preserve"> though</w:t>
      </w:r>
      <w:r>
        <w:rPr>
          <w:rFonts w:cstheme="minorHAnsi"/>
          <w:sz w:val="28"/>
          <w:szCs w:val="28"/>
        </w:rPr>
        <w:t xml:space="preserve">. </w:t>
      </w:r>
      <w:r w:rsidR="00FA16FA">
        <w:rPr>
          <w:rFonts w:cstheme="minorHAnsi"/>
          <w:sz w:val="28"/>
          <w:szCs w:val="28"/>
        </w:rPr>
        <w:t xml:space="preserve">It is often possible that if the company is doing well then, the value of their stocks in the market also increases. This also lets the shareholders make some extra money from the capital gain on the increase of their market share value. However, that is not the only factor that is considered. Most </w:t>
      </w:r>
      <w:r w:rsidR="00FA16FA">
        <w:rPr>
          <w:rFonts w:cstheme="minorHAnsi"/>
          <w:sz w:val="28"/>
          <w:szCs w:val="28"/>
        </w:rPr>
        <w:lastRenderedPageBreak/>
        <w:t>shareholders often consider other factors like the rate of return, the other ratios and also the direction that the company wants to go in the future as it could affect the market price of their shares.</w:t>
      </w:r>
    </w:p>
    <w:p w:rsidR="00FA16FA" w:rsidRDefault="00FA16FA" w:rsidP="00FA16FA">
      <w:pPr>
        <w:pStyle w:val="ListParagraph"/>
        <w:rPr>
          <w:rFonts w:cstheme="minorHAnsi"/>
          <w:sz w:val="28"/>
          <w:szCs w:val="28"/>
        </w:rPr>
      </w:pPr>
    </w:p>
    <w:p w:rsidR="0086753D" w:rsidRDefault="00FA16FA" w:rsidP="0086753D">
      <w:pPr>
        <w:pStyle w:val="ListParagraph"/>
        <w:numPr>
          <w:ilvl w:val="0"/>
          <w:numId w:val="1"/>
        </w:numPr>
        <w:rPr>
          <w:rFonts w:cstheme="minorHAnsi"/>
          <w:sz w:val="28"/>
          <w:szCs w:val="28"/>
        </w:rPr>
      </w:pPr>
      <w:r>
        <w:rPr>
          <w:rFonts w:cstheme="minorHAnsi"/>
          <w:sz w:val="28"/>
          <w:szCs w:val="28"/>
        </w:rPr>
        <w:t xml:space="preserve">I would suggest that Mr. Kevin should invest in the convertibles. Since it is a startup, investing in its shares would have a high risk. In case the </w:t>
      </w:r>
      <w:r w:rsidR="001F5237">
        <w:rPr>
          <w:rFonts w:cstheme="minorHAnsi"/>
          <w:sz w:val="28"/>
          <w:szCs w:val="28"/>
        </w:rPr>
        <w:t xml:space="preserve">dissolution of a </w:t>
      </w:r>
      <w:r>
        <w:rPr>
          <w:rFonts w:cstheme="minorHAnsi"/>
          <w:sz w:val="28"/>
          <w:szCs w:val="28"/>
        </w:rPr>
        <w:t>company</w:t>
      </w:r>
      <w:r w:rsidR="001F5237">
        <w:rPr>
          <w:rFonts w:cstheme="minorHAnsi"/>
          <w:sz w:val="28"/>
          <w:szCs w:val="28"/>
        </w:rPr>
        <w:t xml:space="preserve">, the first priority is always to pay of the debts and then the remainder is given to the PSC holders and finally to the ESC holders. So, if the startup is does not do well in the future and dissolves, in case Mr. Kevin has not yet converted his bonds into shares he would be able to recover his investment in the company as paying back debts are given the most importance at the time of dissolution. And it may be the case that the shareholders are not able to </w:t>
      </w:r>
      <w:r w:rsidR="0086753D">
        <w:rPr>
          <w:rFonts w:cstheme="minorHAnsi"/>
          <w:sz w:val="28"/>
          <w:szCs w:val="28"/>
        </w:rPr>
        <w:t>recover all of their investment due to lack of funds by the time they pay all their debts. Hence, I would suggest that Mr. Kevin invest in convertibles, but if he enjoys taking higher risks, he could invest in the PSC or ESC depending on the amount of risk he is willing to take.</w:t>
      </w:r>
    </w:p>
    <w:p w:rsidR="0086753D" w:rsidRPr="0086753D" w:rsidRDefault="0086753D" w:rsidP="0086753D">
      <w:pPr>
        <w:pStyle w:val="ListParagraph"/>
        <w:rPr>
          <w:rFonts w:cstheme="minorHAnsi"/>
          <w:sz w:val="28"/>
          <w:szCs w:val="28"/>
        </w:rPr>
      </w:pPr>
    </w:p>
    <w:p w:rsidR="0086753D" w:rsidRDefault="0086753D" w:rsidP="0086753D">
      <w:pPr>
        <w:rPr>
          <w:rFonts w:cstheme="minorHAnsi"/>
          <w:sz w:val="28"/>
          <w:szCs w:val="28"/>
        </w:rPr>
      </w:pPr>
    </w:p>
    <w:p w:rsidR="0086753D" w:rsidRPr="0086753D" w:rsidRDefault="0086753D" w:rsidP="0086753D">
      <w:pPr>
        <w:pStyle w:val="ListParagraph"/>
        <w:numPr>
          <w:ilvl w:val="0"/>
          <w:numId w:val="1"/>
        </w:numPr>
        <w:rPr>
          <w:rFonts w:cstheme="minorHAnsi"/>
          <w:sz w:val="28"/>
          <w:szCs w:val="28"/>
        </w:rPr>
      </w:pPr>
    </w:p>
    <w:tbl>
      <w:tblPr>
        <w:tblStyle w:val="TableGrid"/>
        <w:tblW w:w="0" w:type="auto"/>
        <w:tblInd w:w="720" w:type="dxa"/>
        <w:tblLook w:val="04A0" w:firstRow="1" w:lastRow="0" w:firstColumn="1" w:lastColumn="0" w:noHBand="0" w:noVBand="1"/>
      </w:tblPr>
      <w:tblGrid>
        <w:gridCol w:w="815"/>
        <w:gridCol w:w="3680"/>
        <w:gridCol w:w="4135"/>
      </w:tblGrid>
      <w:tr w:rsidR="0086753D" w:rsidTr="003775FA">
        <w:tc>
          <w:tcPr>
            <w:tcW w:w="815" w:type="dxa"/>
          </w:tcPr>
          <w:p w:rsidR="0086753D" w:rsidRDefault="003775FA" w:rsidP="0086753D">
            <w:pPr>
              <w:pStyle w:val="ListParagraph"/>
              <w:ind w:left="0"/>
              <w:rPr>
                <w:rFonts w:cstheme="minorHAnsi"/>
                <w:sz w:val="28"/>
                <w:szCs w:val="28"/>
              </w:rPr>
            </w:pPr>
            <w:proofErr w:type="spellStart"/>
            <w:r>
              <w:rPr>
                <w:rFonts w:cstheme="minorHAnsi"/>
                <w:sz w:val="28"/>
                <w:szCs w:val="28"/>
              </w:rPr>
              <w:t>S</w:t>
            </w:r>
            <w:r w:rsidR="0086753D">
              <w:rPr>
                <w:rFonts w:cstheme="minorHAnsi"/>
                <w:sz w:val="28"/>
                <w:szCs w:val="28"/>
              </w:rPr>
              <w:t>.No</w:t>
            </w:r>
            <w:proofErr w:type="spellEnd"/>
            <w:r w:rsidR="0086753D">
              <w:rPr>
                <w:rFonts w:cstheme="minorHAnsi"/>
                <w:sz w:val="28"/>
                <w:szCs w:val="28"/>
              </w:rPr>
              <w:t>.</w:t>
            </w:r>
          </w:p>
        </w:tc>
        <w:tc>
          <w:tcPr>
            <w:tcW w:w="3680" w:type="dxa"/>
          </w:tcPr>
          <w:p w:rsidR="0086753D" w:rsidRDefault="003775FA" w:rsidP="0086753D">
            <w:pPr>
              <w:pStyle w:val="ListParagraph"/>
              <w:ind w:left="0"/>
              <w:rPr>
                <w:rFonts w:cstheme="minorHAnsi"/>
                <w:sz w:val="28"/>
                <w:szCs w:val="28"/>
              </w:rPr>
            </w:pPr>
            <w:r>
              <w:rPr>
                <w:rFonts w:cstheme="minorHAnsi"/>
                <w:sz w:val="28"/>
                <w:szCs w:val="28"/>
              </w:rPr>
              <w:t>PUBLIC LIMITED</w:t>
            </w:r>
          </w:p>
        </w:tc>
        <w:tc>
          <w:tcPr>
            <w:tcW w:w="4135" w:type="dxa"/>
          </w:tcPr>
          <w:p w:rsidR="0086753D" w:rsidRDefault="003775FA" w:rsidP="0086753D">
            <w:pPr>
              <w:pStyle w:val="ListParagraph"/>
              <w:ind w:left="0"/>
              <w:rPr>
                <w:rFonts w:cstheme="minorHAnsi"/>
                <w:sz w:val="28"/>
                <w:szCs w:val="28"/>
              </w:rPr>
            </w:pPr>
            <w:r>
              <w:rPr>
                <w:rFonts w:cstheme="minorHAnsi"/>
                <w:sz w:val="28"/>
                <w:szCs w:val="28"/>
              </w:rPr>
              <w:t>PRIVATE LIMITED</w:t>
            </w:r>
          </w:p>
        </w:tc>
      </w:tr>
      <w:tr w:rsidR="0086753D" w:rsidTr="003775FA">
        <w:tc>
          <w:tcPr>
            <w:tcW w:w="815" w:type="dxa"/>
          </w:tcPr>
          <w:p w:rsidR="0086753D" w:rsidRDefault="003775FA" w:rsidP="0086753D">
            <w:pPr>
              <w:pStyle w:val="ListParagraph"/>
              <w:ind w:left="0"/>
              <w:rPr>
                <w:rFonts w:cstheme="minorHAnsi"/>
                <w:sz w:val="28"/>
                <w:szCs w:val="28"/>
              </w:rPr>
            </w:pPr>
            <w:r>
              <w:rPr>
                <w:rFonts w:cstheme="minorHAnsi"/>
                <w:sz w:val="28"/>
                <w:szCs w:val="28"/>
              </w:rPr>
              <w:t>1.</w:t>
            </w:r>
          </w:p>
        </w:tc>
        <w:tc>
          <w:tcPr>
            <w:tcW w:w="3680" w:type="dxa"/>
          </w:tcPr>
          <w:p w:rsidR="0086753D" w:rsidRDefault="003775FA" w:rsidP="0086753D">
            <w:pPr>
              <w:pStyle w:val="ListParagraph"/>
              <w:ind w:left="0"/>
              <w:rPr>
                <w:rFonts w:cstheme="minorHAnsi"/>
                <w:sz w:val="28"/>
                <w:szCs w:val="28"/>
              </w:rPr>
            </w:pPr>
            <w:r>
              <w:rPr>
                <w:rFonts w:cstheme="minorHAnsi"/>
                <w:sz w:val="28"/>
                <w:szCs w:val="28"/>
              </w:rPr>
              <w:t>The name of a public limited should end with ‘public limited company’ (or the abbreviation PLC).</w:t>
            </w:r>
          </w:p>
        </w:tc>
        <w:tc>
          <w:tcPr>
            <w:tcW w:w="4135" w:type="dxa"/>
          </w:tcPr>
          <w:p w:rsidR="0086753D" w:rsidRDefault="003775FA" w:rsidP="0086753D">
            <w:pPr>
              <w:pStyle w:val="ListParagraph"/>
              <w:ind w:left="0"/>
              <w:rPr>
                <w:rFonts w:cstheme="minorHAnsi"/>
                <w:sz w:val="28"/>
                <w:szCs w:val="28"/>
              </w:rPr>
            </w:pPr>
            <w:r>
              <w:rPr>
                <w:rFonts w:cstheme="minorHAnsi"/>
                <w:sz w:val="28"/>
                <w:szCs w:val="28"/>
              </w:rPr>
              <w:t>The name of a private limited company should end with ‘limited’ (or the abbreviation LTD or ltd).</w:t>
            </w:r>
          </w:p>
        </w:tc>
      </w:tr>
      <w:tr w:rsidR="0086753D" w:rsidTr="003775FA">
        <w:tc>
          <w:tcPr>
            <w:tcW w:w="815" w:type="dxa"/>
          </w:tcPr>
          <w:p w:rsidR="0086753D" w:rsidRDefault="003775FA" w:rsidP="0086753D">
            <w:pPr>
              <w:pStyle w:val="ListParagraph"/>
              <w:ind w:left="0"/>
              <w:rPr>
                <w:rFonts w:cstheme="minorHAnsi"/>
                <w:sz w:val="28"/>
                <w:szCs w:val="28"/>
              </w:rPr>
            </w:pPr>
            <w:r>
              <w:rPr>
                <w:rFonts w:cstheme="minorHAnsi"/>
                <w:sz w:val="28"/>
                <w:szCs w:val="28"/>
              </w:rPr>
              <w:t>2.</w:t>
            </w:r>
          </w:p>
        </w:tc>
        <w:tc>
          <w:tcPr>
            <w:tcW w:w="3680" w:type="dxa"/>
          </w:tcPr>
          <w:p w:rsidR="0086753D" w:rsidRDefault="003775FA" w:rsidP="0086753D">
            <w:pPr>
              <w:pStyle w:val="ListParagraph"/>
              <w:ind w:left="0"/>
              <w:rPr>
                <w:rFonts w:cstheme="minorHAnsi"/>
                <w:sz w:val="28"/>
                <w:szCs w:val="28"/>
              </w:rPr>
            </w:pPr>
            <w:r>
              <w:rPr>
                <w:rFonts w:cstheme="minorHAnsi"/>
                <w:sz w:val="28"/>
                <w:szCs w:val="28"/>
              </w:rPr>
              <w:t>They can raise capital by issuing shares to the general public.</w:t>
            </w:r>
          </w:p>
        </w:tc>
        <w:tc>
          <w:tcPr>
            <w:tcW w:w="4135" w:type="dxa"/>
          </w:tcPr>
          <w:p w:rsidR="0086753D" w:rsidRDefault="003775FA" w:rsidP="0086753D">
            <w:pPr>
              <w:pStyle w:val="ListParagraph"/>
              <w:ind w:left="0"/>
              <w:rPr>
                <w:rFonts w:cstheme="minorHAnsi"/>
                <w:sz w:val="28"/>
                <w:szCs w:val="28"/>
              </w:rPr>
            </w:pPr>
            <w:r>
              <w:rPr>
                <w:rFonts w:cstheme="minorHAnsi"/>
                <w:sz w:val="28"/>
                <w:szCs w:val="28"/>
              </w:rPr>
              <w:t xml:space="preserve">They cannot issue shares to the general public. </w:t>
            </w:r>
          </w:p>
        </w:tc>
      </w:tr>
      <w:tr w:rsidR="0086753D" w:rsidTr="003775FA">
        <w:tc>
          <w:tcPr>
            <w:tcW w:w="815" w:type="dxa"/>
          </w:tcPr>
          <w:p w:rsidR="0086753D" w:rsidRDefault="003775FA" w:rsidP="0086753D">
            <w:pPr>
              <w:pStyle w:val="ListParagraph"/>
              <w:ind w:left="0"/>
              <w:rPr>
                <w:rFonts w:cstheme="minorHAnsi"/>
                <w:sz w:val="28"/>
                <w:szCs w:val="28"/>
              </w:rPr>
            </w:pPr>
            <w:r>
              <w:rPr>
                <w:rFonts w:cstheme="minorHAnsi"/>
                <w:sz w:val="28"/>
                <w:szCs w:val="28"/>
              </w:rPr>
              <w:t>3.</w:t>
            </w:r>
          </w:p>
        </w:tc>
        <w:tc>
          <w:tcPr>
            <w:tcW w:w="3680" w:type="dxa"/>
          </w:tcPr>
          <w:p w:rsidR="0086753D" w:rsidRDefault="003775FA" w:rsidP="0086753D">
            <w:pPr>
              <w:pStyle w:val="ListParagraph"/>
              <w:ind w:left="0"/>
              <w:rPr>
                <w:rFonts w:cstheme="minorHAnsi"/>
                <w:sz w:val="28"/>
                <w:szCs w:val="28"/>
              </w:rPr>
            </w:pPr>
            <w:r>
              <w:rPr>
                <w:rFonts w:cstheme="minorHAnsi"/>
                <w:sz w:val="28"/>
                <w:szCs w:val="28"/>
              </w:rPr>
              <w:t>They are allowed to list themselves with the Stock Exchange.</w:t>
            </w:r>
          </w:p>
        </w:tc>
        <w:tc>
          <w:tcPr>
            <w:tcW w:w="4135" w:type="dxa"/>
          </w:tcPr>
          <w:p w:rsidR="0086753D" w:rsidRDefault="003775FA" w:rsidP="0086753D">
            <w:pPr>
              <w:pStyle w:val="ListParagraph"/>
              <w:ind w:left="0"/>
              <w:rPr>
                <w:rFonts w:cstheme="minorHAnsi"/>
                <w:sz w:val="28"/>
                <w:szCs w:val="28"/>
              </w:rPr>
            </w:pPr>
            <w:r>
              <w:rPr>
                <w:rFonts w:cstheme="minorHAnsi"/>
                <w:sz w:val="28"/>
                <w:szCs w:val="28"/>
              </w:rPr>
              <w:t>They cannot list themselves with the Stock Exchange.</w:t>
            </w:r>
          </w:p>
        </w:tc>
      </w:tr>
      <w:tr w:rsidR="00B4530F" w:rsidTr="003775FA">
        <w:tc>
          <w:tcPr>
            <w:tcW w:w="815" w:type="dxa"/>
          </w:tcPr>
          <w:p w:rsidR="00B4530F" w:rsidRDefault="00B4530F" w:rsidP="0086753D">
            <w:pPr>
              <w:pStyle w:val="ListParagraph"/>
              <w:ind w:left="0"/>
              <w:rPr>
                <w:rFonts w:cstheme="minorHAnsi"/>
                <w:sz w:val="28"/>
                <w:szCs w:val="28"/>
              </w:rPr>
            </w:pPr>
            <w:r>
              <w:rPr>
                <w:rFonts w:cstheme="minorHAnsi"/>
                <w:sz w:val="28"/>
                <w:szCs w:val="28"/>
              </w:rPr>
              <w:t>4.</w:t>
            </w:r>
          </w:p>
        </w:tc>
        <w:tc>
          <w:tcPr>
            <w:tcW w:w="3680" w:type="dxa"/>
          </w:tcPr>
          <w:p w:rsidR="00B4530F" w:rsidRDefault="00B4530F" w:rsidP="0086753D">
            <w:pPr>
              <w:pStyle w:val="ListParagraph"/>
              <w:ind w:left="0"/>
              <w:rPr>
                <w:rFonts w:cstheme="minorHAnsi"/>
                <w:sz w:val="28"/>
                <w:szCs w:val="28"/>
              </w:rPr>
            </w:pPr>
            <w:r>
              <w:rPr>
                <w:rFonts w:cstheme="minorHAnsi"/>
                <w:sz w:val="28"/>
                <w:szCs w:val="28"/>
              </w:rPr>
              <w:t>They are required to publish their financial statements publicly by the law.</w:t>
            </w:r>
          </w:p>
        </w:tc>
        <w:tc>
          <w:tcPr>
            <w:tcW w:w="4135" w:type="dxa"/>
          </w:tcPr>
          <w:p w:rsidR="00B4530F" w:rsidRDefault="00B4530F" w:rsidP="0086753D">
            <w:pPr>
              <w:pStyle w:val="ListParagraph"/>
              <w:ind w:left="0"/>
              <w:rPr>
                <w:rFonts w:cstheme="minorHAnsi"/>
                <w:sz w:val="28"/>
                <w:szCs w:val="28"/>
              </w:rPr>
            </w:pPr>
            <w:r>
              <w:rPr>
                <w:rFonts w:cstheme="minorHAnsi"/>
                <w:sz w:val="28"/>
                <w:szCs w:val="28"/>
              </w:rPr>
              <w:t>They do not need to disclose their financial statements to the public.</w:t>
            </w:r>
          </w:p>
        </w:tc>
      </w:tr>
    </w:tbl>
    <w:p w:rsidR="003B2EC5" w:rsidRDefault="003B2EC5" w:rsidP="0086753D">
      <w:pPr>
        <w:rPr>
          <w:rFonts w:cstheme="minorHAnsi"/>
          <w:sz w:val="28"/>
          <w:szCs w:val="28"/>
        </w:rPr>
      </w:pPr>
    </w:p>
    <w:p w:rsidR="003B2EC5" w:rsidRDefault="003B2EC5" w:rsidP="0086753D">
      <w:pPr>
        <w:rPr>
          <w:rFonts w:cstheme="minorHAnsi"/>
          <w:sz w:val="28"/>
          <w:szCs w:val="28"/>
        </w:rPr>
      </w:pPr>
    </w:p>
    <w:p w:rsidR="003B2EC5" w:rsidRDefault="003B2EC5" w:rsidP="003B2EC5">
      <w:pPr>
        <w:pStyle w:val="ListParagraph"/>
        <w:numPr>
          <w:ilvl w:val="0"/>
          <w:numId w:val="1"/>
        </w:numPr>
        <w:rPr>
          <w:rFonts w:cstheme="minorHAnsi"/>
          <w:sz w:val="28"/>
          <w:szCs w:val="28"/>
        </w:rPr>
      </w:pPr>
      <w:r>
        <w:rPr>
          <w:rFonts w:cstheme="minorHAnsi"/>
          <w:sz w:val="28"/>
          <w:szCs w:val="28"/>
        </w:rPr>
        <w:t>The pros and cons of a sole proprietorship are as follows:</w:t>
      </w:r>
    </w:p>
    <w:p w:rsidR="003B2EC5" w:rsidRDefault="003B2EC5" w:rsidP="003B2EC5">
      <w:pPr>
        <w:pStyle w:val="ListParagraph"/>
        <w:numPr>
          <w:ilvl w:val="0"/>
          <w:numId w:val="5"/>
        </w:numPr>
        <w:rPr>
          <w:rFonts w:cstheme="minorHAnsi"/>
          <w:sz w:val="28"/>
          <w:szCs w:val="28"/>
        </w:rPr>
      </w:pPr>
      <w:r>
        <w:rPr>
          <w:rFonts w:cstheme="minorHAnsi"/>
          <w:sz w:val="28"/>
          <w:szCs w:val="28"/>
        </w:rPr>
        <w:t>Pros:</w:t>
      </w:r>
    </w:p>
    <w:p w:rsidR="003B2EC5" w:rsidRDefault="003B2EC5" w:rsidP="003B2EC5">
      <w:pPr>
        <w:pStyle w:val="ListParagraph"/>
        <w:numPr>
          <w:ilvl w:val="0"/>
          <w:numId w:val="6"/>
        </w:numPr>
        <w:rPr>
          <w:rFonts w:cstheme="minorHAnsi"/>
          <w:sz w:val="28"/>
          <w:szCs w:val="28"/>
        </w:rPr>
      </w:pPr>
      <w:r>
        <w:rPr>
          <w:rFonts w:cstheme="minorHAnsi"/>
          <w:sz w:val="28"/>
          <w:szCs w:val="28"/>
        </w:rPr>
        <w:t>It requires small initial capital.</w:t>
      </w:r>
    </w:p>
    <w:p w:rsidR="003B2EC5" w:rsidRDefault="003B2EC5" w:rsidP="003B2EC5">
      <w:pPr>
        <w:pStyle w:val="ListParagraph"/>
        <w:numPr>
          <w:ilvl w:val="0"/>
          <w:numId w:val="6"/>
        </w:numPr>
        <w:rPr>
          <w:rFonts w:cstheme="minorHAnsi"/>
          <w:sz w:val="28"/>
          <w:szCs w:val="28"/>
        </w:rPr>
      </w:pPr>
      <w:r>
        <w:rPr>
          <w:rFonts w:cstheme="minorHAnsi"/>
          <w:sz w:val="28"/>
          <w:szCs w:val="28"/>
        </w:rPr>
        <w:t>The owner has complete control over the management.</w:t>
      </w:r>
    </w:p>
    <w:p w:rsidR="003B2EC5" w:rsidRDefault="003B2EC5" w:rsidP="003B2EC5">
      <w:pPr>
        <w:pStyle w:val="ListParagraph"/>
        <w:numPr>
          <w:ilvl w:val="0"/>
          <w:numId w:val="5"/>
        </w:numPr>
        <w:rPr>
          <w:rFonts w:cstheme="minorHAnsi"/>
          <w:sz w:val="28"/>
          <w:szCs w:val="28"/>
        </w:rPr>
      </w:pPr>
      <w:r>
        <w:rPr>
          <w:rFonts w:cstheme="minorHAnsi"/>
          <w:sz w:val="28"/>
          <w:szCs w:val="28"/>
        </w:rPr>
        <w:t>Cons:</w:t>
      </w:r>
    </w:p>
    <w:p w:rsidR="003B2EC5" w:rsidRDefault="003B2EC5" w:rsidP="003B2EC5">
      <w:pPr>
        <w:pStyle w:val="ListParagraph"/>
        <w:numPr>
          <w:ilvl w:val="0"/>
          <w:numId w:val="7"/>
        </w:numPr>
        <w:rPr>
          <w:rFonts w:cstheme="minorHAnsi"/>
          <w:sz w:val="28"/>
          <w:szCs w:val="28"/>
        </w:rPr>
      </w:pPr>
      <w:r>
        <w:rPr>
          <w:rFonts w:cstheme="minorHAnsi"/>
          <w:sz w:val="28"/>
          <w:szCs w:val="28"/>
        </w:rPr>
        <w:t>There is limit to the amount a single person can raise for investment and also a limit on how much one can keep a check on. Do the scope of exchange is also limited.</w:t>
      </w:r>
    </w:p>
    <w:p w:rsidR="003B2EC5" w:rsidRDefault="003B2EC5" w:rsidP="003B2EC5">
      <w:pPr>
        <w:pStyle w:val="ListParagraph"/>
        <w:numPr>
          <w:ilvl w:val="0"/>
          <w:numId w:val="7"/>
        </w:numPr>
        <w:rPr>
          <w:rFonts w:cstheme="minorHAnsi"/>
          <w:sz w:val="28"/>
          <w:szCs w:val="28"/>
        </w:rPr>
      </w:pPr>
      <w:r>
        <w:rPr>
          <w:rFonts w:cstheme="minorHAnsi"/>
          <w:sz w:val="28"/>
          <w:szCs w:val="28"/>
        </w:rPr>
        <w:lastRenderedPageBreak/>
        <w:t>The owner is not a separate legal identity from the firm. So the owner has an unlimited liability and would need to use their personal assets to repay liabilities in case of insolvency.</w:t>
      </w:r>
    </w:p>
    <w:p w:rsidR="003B2EC5" w:rsidRDefault="003B2EC5" w:rsidP="003B2EC5">
      <w:pPr>
        <w:rPr>
          <w:rFonts w:cstheme="minorHAnsi"/>
          <w:sz w:val="28"/>
          <w:szCs w:val="28"/>
        </w:rPr>
      </w:pPr>
    </w:p>
    <w:p w:rsidR="00435F75" w:rsidRDefault="003B2EC5" w:rsidP="003B2EC5">
      <w:pPr>
        <w:pStyle w:val="ListParagraph"/>
        <w:numPr>
          <w:ilvl w:val="0"/>
          <w:numId w:val="1"/>
        </w:numPr>
        <w:rPr>
          <w:rFonts w:cstheme="minorHAnsi"/>
          <w:sz w:val="28"/>
          <w:szCs w:val="28"/>
        </w:rPr>
      </w:pPr>
      <w:r>
        <w:rPr>
          <w:rFonts w:cstheme="minorHAnsi"/>
          <w:sz w:val="28"/>
          <w:szCs w:val="28"/>
        </w:rPr>
        <w:t xml:space="preserve">Delta </w:t>
      </w:r>
      <w:proofErr w:type="spellStart"/>
      <w:r>
        <w:rPr>
          <w:rFonts w:cstheme="minorHAnsi"/>
          <w:sz w:val="28"/>
          <w:szCs w:val="28"/>
        </w:rPr>
        <w:t>corp</w:t>
      </w:r>
      <w:proofErr w:type="spellEnd"/>
      <w:r>
        <w:rPr>
          <w:rFonts w:cstheme="minorHAnsi"/>
          <w:sz w:val="28"/>
          <w:szCs w:val="28"/>
        </w:rPr>
        <w:t xml:space="preserve"> can </w:t>
      </w:r>
      <w:r w:rsidR="00435F75">
        <w:rPr>
          <w:rFonts w:cstheme="minorHAnsi"/>
          <w:sz w:val="28"/>
          <w:szCs w:val="28"/>
        </w:rPr>
        <w:t>raise short term funds for working capital needs by the following methods:</w:t>
      </w:r>
    </w:p>
    <w:p w:rsidR="00435F75" w:rsidRDefault="00435F75" w:rsidP="00435F75">
      <w:pPr>
        <w:pStyle w:val="ListParagraph"/>
        <w:numPr>
          <w:ilvl w:val="0"/>
          <w:numId w:val="8"/>
        </w:numPr>
        <w:rPr>
          <w:rFonts w:cstheme="minorHAnsi"/>
          <w:sz w:val="28"/>
          <w:szCs w:val="28"/>
        </w:rPr>
      </w:pPr>
      <w:r>
        <w:rPr>
          <w:rFonts w:cstheme="minorHAnsi"/>
          <w:sz w:val="28"/>
          <w:szCs w:val="28"/>
        </w:rPr>
        <w:t>Bank loans</w:t>
      </w:r>
    </w:p>
    <w:p w:rsidR="00435F75" w:rsidRDefault="00435F75" w:rsidP="00435F75">
      <w:pPr>
        <w:pStyle w:val="ListParagraph"/>
        <w:numPr>
          <w:ilvl w:val="0"/>
          <w:numId w:val="8"/>
        </w:numPr>
        <w:rPr>
          <w:rFonts w:cstheme="minorHAnsi"/>
          <w:sz w:val="28"/>
          <w:szCs w:val="28"/>
        </w:rPr>
      </w:pPr>
      <w:r>
        <w:rPr>
          <w:rFonts w:cstheme="minorHAnsi"/>
          <w:sz w:val="28"/>
          <w:szCs w:val="28"/>
        </w:rPr>
        <w:t>Bank overdrafts</w:t>
      </w:r>
    </w:p>
    <w:p w:rsidR="00435F75" w:rsidRDefault="00435F75" w:rsidP="00435F75">
      <w:pPr>
        <w:pStyle w:val="ListParagraph"/>
        <w:numPr>
          <w:ilvl w:val="0"/>
          <w:numId w:val="8"/>
        </w:numPr>
        <w:rPr>
          <w:rFonts w:cstheme="minorHAnsi"/>
          <w:sz w:val="28"/>
          <w:szCs w:val="28"/>
        </w:rPr>
      </w:pPr>
      <w:r>
        <w:rPr>
          <w:rFonts w:cstheme="minorHAnsi"/>
          <w:sz w:val="28"/>
          <w:szCs w:val="28"/>
        </w:rPr>
        <w:t>Issuing commercial papers</w:t>
      </w:r>
    </w:p>
    <w:p w:rsidR="00435F75" w:rsidRDefault="00435F75" w:rsidP="00435F75">
      <w:pPr>
        <w:pStyle w:val="ListParagraph"/>
        <w:numPr>
          <w:ilvl w:val="0"/>
          <w:numId w:val="8"/>
        </w:numPr>
        <w:rPr>
          <w:rFonts w:cstheme="minorHAnsi"/>
          <w:sz w:val="28"/>
          <w:szCs w:val="28"/>
        </w:rPr>
      </w:pPr>
      <w:r>
        <w:rPr>
          <w:rFonts w:cstheme="minorHAnsi"/>
          <w:sz w:val="28"/>
          <w:szCs w:val="28"/>
        </w:rPr>
        <w:t>Factoring</w:t>
      </w:r>
    </w:p>
    <w:p w:rsidR="00435F75" w:rsidRDefault="00435F75" w:rsidP="00435F75">
      <w:pPr>
        <w:rPr>
          <w:rFonts w:cstheme="minorHAnsi"/>
          <w:sz w:val="28"/>
          <w:szCs w:val="28"/>
        </w:rPr>
      </w:pPr>
    </w:p>
    <w:p w:rsidR="00432786" w:rsidRDefault="00435F75" w:rsidP="00432786">
      <w:pPr>
        <w:pStyle w:val="ListParagraph"/>
        <w:numPr>
          <w:ilvl w:val="0"/>
          <w:numId w:val="1"/>
        </w:numPr>
        <w:rPr>
          <w:rFonts w:cstheme="minorHAnsi"/>
          <w:sz w:val="28"/>
          <w:szCs w:val="28"/>
        </w:rPr>
      </w:pPr>
      <w:r w:rsidRPr="00432786">
        <w:rPr>
          <w:rFonts w:cstheme="minorHAnsi"/>
          <w:sz w:val="28"/>
          <w:szCs w:val="28"/>
        </w:rPr>
        <w:t xml:space="preserve"> </w:t>
      </w:r>
      <w:r w:rsidR="00432786">
        <w:rPr>
          <w:rFonts w:cstheme="minorHAnsi"/>
          <w:sz w:val="28"/>
          <w:szCs w:val="28"/>
        </w:rPr>
        <w:t>The two types of leases’ can be defined as follows:</w:t>
      </w:r>
    </w:p>
    <w:p w:rsidR="00432786" w:rsidRDefault="00432786" w:rsidP="00432786">
      <w:pPr>
        <w:pStyle w:val="ListParagraph"/>
        <w:numPr>
          <w:ilvl w:val="0"/>
          <w:numId w:val="10"/>
        </w:numPr>
        <w:rPr>
          <w:rFonts w:cstheme="minorHAnsi"/>
          <w:sz w:val="28"/>
          <w:szCs w:val="28"/>
        </w:rPr>
      </w:pPr>
      <w:r>
        <w:rPr>
          <w:rFonts w:cstheme="minorHAnsi"/>
          <w:sz w:val="28"/>
          <w:szCs w:val="28"/>
        </w:rPr>
        <w:t>Operating lease: U</w:t>
      </w:r>
      <w:r w:rsidR="00435F75" w:rsidRPr="00432786">
        <w:rPr>
          <w:rFonts w:cstheme="minorHAnsi"/>
          <w:sz w:val="28"/>
          <w:szCs w:val="28"/>
        </w:rPr>
        <w:t>nder this system, the owner of the asset, i.e., the lesser will bear the risks related to owning the asset. The term of the lease is shorter than the life of the asset.</w:t>
      </w:r>
    </w:p>
    <w:p w:rsidR="00432786" w:rsidRDefault="00432786" w:rsidP="00432786">
      <w:pPr>
        <w:pStyle w:val="ListParagraph"/>
        <w:numPr>
          <w:ilvl w:val="0"/>
          <w:numId w:val="10"/>
        </w:numPr>
        <w:rPr>
          <w:rFonts w:cstheme="minorHAnsi"/>
          <w:sz w:val="28"/>
          <w:szCs w:val="28"/>
        </w:rPr>
      </w:pPr>
      <w:r>
        <w:rPr>
          <w:rFonts w:cstheme="minorHAnsi"/>
          <w:sz w:val="28"/>
          <w:szCs w:val="28"/>
        </w:rPr>
        <w:t>Finance lease: Under this system the lessee will bear the risks related to owning the asset. The term of the lease is similar to that of the life of the asset.</w:t>
      </w:r>
    </w:p>
    <w:p w:rsidR="00432786" w:rsidRDefault="00432786" w:rsidP="00432786">
      <w:pPr>
        <w:pStyle w:val="ListParagraph"/>
        <w:numPr>
          <w:ilvl w:val="0"/>
          <w:numId w:val="1"/>
        </w:numPr>
        <w:rPr>
          <w:rFonts w:cstheme="minorHAnsi"/>
          <w:sz w:val="28"/>
          <w:szCs w:val="28"/>
        </w:rPr>
      </w:pPr>
      <w:r>
        <w:rPr>
          <w:rFonts w:cstheme="minorHAnsi"/>
          <w:sz w:val="28"/>
          <w:szCs w:val="28"/>
        </w:rPr>
        <w:lastRenderedPageBreak/>
        <w:t>Explain:</w:t>
      </w:r>
    </w:p>
    <w:p w:rsidR="00432786" w:rsidRDefault="00432786" w:rsidP="00432786">
      <w:pPr>
        <w:pStyle w:val="ListParagraph"/>
        <w:numPr>
          <w:ilvl w:val="0"/>
          <w:numId w:val="11"/>
        </w:numPr>
        <w:rPr>
          <w:rFonts w:cstheme="minorHAnsi"/>
          <w:sz w:val="28"/>
          <w:szCs w:val="28"/>
        </w:rPr>
      </w:pPr>
      <w:r>
        <w:rPr>
          <w:rFonts w:cstheme="minorHAnsi"/>
          <w:sz w:val="28"/>
          <w:szCs w:val="28"/>
        </w:rPr>
        <w:t>Convertible: It is a form of company security, either an unsecured loan stocks (bonds) or a preference shares that can be converted into the ordinary shares (equity shares) of the company after a certain amount of predetermined time has passed.</w:t>
      </w:r>
    </w:p>
    <w:p w:rsidR="000F40CF" w:rsidRDefault="00432786" w:rsidP="00432786">
      <w:pPr>
        <w:pStyle w:val="ListParagraph"/>
        <w:numPr>
          <w:ilvl w:val="0"/>
          <w:numId w:val="11"/>
        </w:numPr>
        <w:rPr>
          <w:rFonts w:cstheme="minorHAnsi"/>
          <w:sz w:val="28"/>
          <w:szCs w:val="28"/>
        </w:rPr>
      </w:pPr>
      <w:r>
        <w:rPr>
          <w:rFonts w:cstheme="minorHAnsi"/>
          <w:sz w:val="28"/>
          <w:szCs w:val="28"/>
        </w:rPr>
        <w:t xml:space="preserve">Warrant: </w:t>
      </w:r>
      <w:r w:rsidR="009A16A3">
        <w:rPr>
          <w:rFonts w:cstheme="minorHAnsi"/>
          <w:sz w:val="28"/>
          <w:szCs w:val="28"/>
        </w:rPr>
        <w:t>It is a long-term option that gives the holder the right to buy a specified number of shares from a firm’s stock at a specified price for a specified period.</w:t>
      </w:r>
      <w:r>
        <w:rPr>
          <w:rFonts w:cstheme="minorHAnsi"/>
          <w:sz w:val="28"/>
          <w:szCs w:val="28"/>
        </w:rPr>
        <w:t xml:space="preserve"> </w:t>
      </w:r>
      <w:r w:rsidRPr="00432786">
        <w:rPr>
          <w:rFonts w:cstheme="minorHAnsi"/>
          <w:sz w:val="28"/>
          <w:szCs w:val="28"/>
        </w:rPr>
        <w:t xml:space="preserve"> </w:t>
      </w:r>
      <w:r w:rsidR="00435F75" w:rsidRPr="00432786">
        <w:rPr>
          <w:rFonts w:cstheme="minorHAnsi"/>
          <w:sz w:val="28"/>
          <w:szCs w:val="28"/>
        </w:rPr>
        <w:t xml:space="preserve"> </w:t>
      </w:r>
      <w:r w:rsidR="003B2EC5" w:rsidRPr="00432786">
        <w:rPr>
          <w:rFonts w:cstheme="minorHAnsi"/>
          <w:sz w:val="28"/>
          <w:szCs w:val="28"/>
        </w:rPr>
        <w:t xml:space="preserve"> </w:t>
      </w:r>
      <w:r w:rsidR="0086753D" w:rsidRPr="00432786">
        <w:rPr>
          <w:rFonts w:cstheme="minorHAnsi"/>
          <w:sz w:val="28"/>
          <w:szCs w:val="28"/>
        </w:rPr>
        <w:t xml:space="preserve"> </w:t>
      </w:r>
      <w:r w:rsidR="001F5237" w:rsidRPr="00432786">
        <w:rPr>
          <w:rFonts w:cstheme="minorHAnsi"/>
          <w:sz w:val="28"/>
          <w:szCs w:val="28"/>
        </w:rPr>
        <w:t xml:space="preserve">    </w:t>
      </w:r>
      <w:r w:rsidR="00FA16FA" w:rsidRPr="00432786">
        <w:rPr>
          <w:rFonts w:cstheme="minorHAnsi"/>
          <w:sz w:val="28"/>
          <w:szCs w:val="28"/>
        </w:rPr>
        <w:t xml:space="preserve">    </w:t>
      </w:r>
    </w:p>
    <w:p w:rsidR="009A16A3" w:rsidRDefault="0028444D" w:rsidP="00432786">
      <w:pPr>
        <w:pStyle w:val="ListParagraph"/>
        <w:numPr>
          <w:ilvl w:val="0"/>
          <w:numId w:val="11"/>
        </w:numPr>
        <w:rPr>
          <w:rFonts w:cstheme="minorHAnsi"/>
          <w:sz w:val="28"/>
          <w:szCs w:val="28"/>
        </w:rPr>
      </w:pPr>
      <w:r>
        <w:rPr>
          <w:rFonts w:cstheme="minorHAnsi"/>
          <w:sz w:val="28"/>
          <w:szCs w:val="28"/>
        </w:rPr>
        <w:t>Convertible securities tend to combine the low risk of a debt and preference share along with the possibility of high gains from equity shares. They tend to give more income than the ordinary shares to the investors. Hence the price paid for the higher returns is a high trading price.</w:t>
      </w:r>
    </w:p>
    <w:p w:rsidR="0028444D" w:rsidRPr="00432786" w:rsidRDefault="0028444D" w:rsidP="00432786">
      <w:pPr>
        <w:pStyle w:val="ListParagraph"/>
        <w:numPr>
          <w:ilvl w:val="0"/>
          <w:numId w:val="11"/>
        </w:numPr>
        <w:rPr>
          <w:rFonts w:cstheme="minorHAnsi"/>
          <w:sz w:val="28"/>
          <w:szCs w:val="28"/>
        </w:rPr>
      </w:pPr>
      <w:r>
        <w:rPr>
          <w:rFonts w:cstheme="minorHAnsi"/>
          <w:sz w:val="28"/>
          <w:szCs w:val="28"/>
        </w:rPr>
        <w:t xml:space="preserve">Convertible securities work as bonds or preference shares unless the holder decides to convert it into the ordinary shares of the company. As far as </w:t>
      </w:r>
      <w:r w:rsidR="00B4530F">
        <w:rPr>
          <w:rFonts w:cstheme="minorHAnsi"/>
          <w:sz w:val="28"/>
          <w:szCs w:val="28"/>
        </w:rPr>
        <w:t xml:space="preserve">convertible </w:t>
      </w:r>
      <w:r>
        <w:rPr>
          <w:rFonts w:cstheme="minorHAnsi"/>
          <w:sz w:val="28"/>
          <w:szCs w:val="28"/>
        </w:rPr>
        <w:t xml:space="preserve">preference shares are concerned when distributing profits, they are given a </w:t>
      </w:r>
      <w:r w:rsidR="00B4530F">
        <w:rPr>
          <w:rFonts w:cstheme="minorHAnsi"/>
          <w:sz w:val="28"/>
          <w:szCs w:val="28"/>
        </w:rPr>
        <w:t xml:space="preserve">priority over the equity shareholders. So, they tend to earn more through dividends than equity shareholders. While distributing dividends is optional, paying </w:t>
      </w:r>
      <w:r w:rsidR="00B4530F">
        <w:rPr>
          <w:rFonts w:cstheme="minorHAnsi"/>
          <w:sz w:val="28"/>
          <w:szCs w:val="28"/>
        </w:rPr>
        <w:lastRenderedPageBreak/>
        <w:t xml:space="preserve">of interests is compulsory and hence convertible bond holders regularly receive interest payments. This leads to them earning more than the shareholders. If the conversion option is used, the conversion fee is high, and the earnings thereafter are same for all but due to the extra earnings made before converting the security, convertible running yield tend to be higher than those of equity shares. </w:t>
      </w:r>
      <w:r>
        <w:rPr>
          <w:rFonts w:cstheme="minorHAnsi"/>
          <w:sz w:val="28"/>
          <w:szCs w:val="28"/>
        </w:rPr>
        <w:t xml:space="preserve"> </w:t>
      </w:r>
    </w:p>
    <w:p w:rsidR="00CB71FB" w:rsidRDefault="00CB71FB" w:rsidP="00CB71FB">
      <w:pPr>
        <w:jc w:val="center"/>
        <w:rPr>
          <w:rFonts w:cstheme="minorHAnsi"/>
          <w:sz w:val="28"/>
          <w:szCs w:val="28"/>
        </w:rPr>
      </w:pPr>
    </w:p>
    <w:p w:rsidR="00CB71FB" w:rsidRDefault="00CB71FB" w:rsidP="00CB71FB">
      <w:pPr>
        <w:jc w:val="center"/>
        <w:rPr>
          <w:rFonts w:cstheme="minorHAnsi"/>
          <w:sz w:val="28"/>
          <w:szCs w:val="28"/>
        </w:rPr>
      </w:pPr>
    </w:p>
    <w:p w:rsidR="00CB71FB" w:rsidRPr="00CB71FB" w:rsidRDefault="00CB71FB" w:rsidP="00CB71FB">
      <w:pPr>
        <w:jc w:val="center"/>
        <w:rPr>
          <w:rFonts w:cstheme="minorHAnsi"/>
          <w:sz w:val="28"/>
          <w:szCs w:val="28"/>
        </w:rPr>
      </w:pPr>
    </w:p>
    <w:sectPr w:rsidR="00CB71FB" w:rsidRPr="00CB7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5E7"/>
    <w:multiLevelType w:val="hybridMultilevel"/>
    <w:tmpl w:val="26CE21DC"/>
    <w:lvl w:ilvl="0" w:tplc="8012B8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C2240"/>
    <w:multiLevelType w:val="hybridMultilevel"/>
    <w:tmpl w:val="027CA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53AF8"/>
    <w:multiLevelType w:val="hybridMultilevel"/>
    <w:tmpl w:val="AAF02618"/>
    <w:lvl w:ilvl="0" w:tplc="DCF652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B71986"/>
    <w:multiLevelType w:val="hybridMultilevel"/>
    <w:tmpl w:val="40740BFE"/>
    <w:lvl w:ilvl="0" w:tplc="833634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DA508C"/>
    <w:multiLevelType w:val="hybridMultilevel"/>
    <w:tmpl w:val="1AA2FD3E"/>
    <w:lvl w:ilvl="0" w:tplc="50D8E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A26846"/>
    <w:multiLevelType w:val="hybridMultilevel"/>
    <w:tmpl w:val="CAEC7E3E"/>
    <w:lvl w:ilvl="0" w:tplc="65E6B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E9446E"/>
    <w:multiLevelType w:val="hybridMultilevel"/>
    <w:tmpl w:val="965E3CC2"/>
    <w:lvl w:ilvl="0" w:tplc="D5666A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F23617"/>
    <w:multiLevelType w:val="hybridMultilevel"/>
    <w:tmpl w:val="8CE6F456"/>
    <w:lvl w:ilvl="0" w:tplc="FB9AE5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25679E"/>
    <w:multiLevelType w:val="hybridMultilevel"/>
    <w:tmpl w:val="02A00560"/>
    <w:lvl w:ilvl="0" w:tplc="5B28A2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514562"/>
    <w:multiLevelType w:val="hybridMultilevel"/>
    <w:tmpl w:val="F55A25F0"/>
    <w:lvl w:ilvl="0" w:tplc="4926B9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3D6A91"/>
    <w:multiLevelType w:val="hybridMultilevel"/>
    <w:tmpl w:val="5C20B6F0"/>
    <w:lvl w:ilvl="0" w:tplc="1B780E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10"/>
  </w:num>
  <w:num w:numId="6">
    <w:abstractNumId w:val="8"/>
  </w:num>
  <w:num w:numId="7">
    <w:abstractNumId w:val="9"/>
  </w:num>
  <w:num w:numId="8">
    <w:abstractNumId w:val="7"/>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FB"/>
    <w:rsid w:val="000F40CF"/>
    <w:rsid w:val="001F5237"/>
    <w:rsid w:val="0028444D"/>
    <w:rsid w:val="00306678"/>
    <w:rsid w:val="003629F7"/>
    <w:rsid w:val="003775FA"/>
    <w:rsid w:val="003A3121"/>
    <w:rsid w:val="003B2EC5"/>
    <w:rsid w:val="00432786"/>
    <w:rsid w:val="00435F75"/>
    <w:rsid w:val="0086753D"/>
    <w:rsid w:val="009A16A3"/>
    <w:rsid w:val="00B4530F"/>
    <w:rsid w:val="00BD1D7F"/>
    <w:rsid w:val="00CB71FB"/>
    <w:rsid w:val="00FA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39F6"/>
  <w15:chartTrackingRefBased/>
  <w15:docId w15:val="{8E9507A1-1ED4-47C7-8E4B-A26AB48E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FB"/>
    <w:pPr>
      <w:ind w:left="720"/>
      <w:contextualSpacing/>
    </w:pPr>
  </w:style>
  <w:style w:type="table" w:styleId="TableGrid">
    <w:name w:val="Table Grid"/>
    <w:basedOn w:val="TableNormal"/>
    <w:uiPriority w:val="39"/>
    <w:rsid w:val="00867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D293-BB03-4AD4-B8B9-B9D1A0DE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2021-12-03T16:33:00Z</dcterms:created>
  <dcterms:modified xsi:type="dcterms:W3CDTF">2021-12-04T03:57:00Z</dcterms:modified>
</cp:coreProperties>
</file>