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1441C" w14:textId="77777777" w:rsidR="00E4185F" w:rsidRDefault="00E4185F" w:rsidP="57431AF1">
      <w:pPr>
        <w:pStyle w:val="ListParagraph"/>
        <w:ind w:left="0"/>
        <w:jc w:val="center"/>
        <w:rPr>
          <w:rFonts w:ascii="Georgia" w:eastAsia="Georgia" w:hAnsi="Georgia" w:cs="Georgia"/>
          <w:b/>
          <w:bCs/>
          <w:sz w:val="28"/>
          <w:szCs w:val="28"/>
          <w:u w:val="single"/>
        </w:rPr>
      </w:pPr>
    </w:p>
    <w:p w14:paraId="14AC55C7" w14:textId="389CF6B5" w:rsidR="002C6213" w:rsidRDefault="57431AF1" w:rsidP="57431AF1">
      <w:pPr>
        <w:pStyle w:val="ListParagraph"/>
        <w:ind w:left="0"/>
        <w:jc w:val="center"/>
        <w:rPr>
          <w:rFonts w:ascii="Georgia" w:eastAsia="Georgia" w:hAnsi="Georgia" w:cs="Georgia"/>
          <w:b/>
          <w:bCs/>
          <w:sz w:val="28"/>
          <w:szCs w:val="28"/>
          <w:u w:val="single"/>
        </w:rPr>
      </w:pPr>
      <w:r w:rsidRPr="57431AF1">
        <w:rPr>
          <w:rFonts w:ascii="Georgia" w:eastAsia="Georgia" w:hAnsi="Georgia" w:cs="Georgia"/>
          <w:b/>
          <w:bCs/>
          <w:sz w:val="28"/>
          <w:szCs w:val="28"/>
          <w:u w:val="single"/>
        </w:rPr>
        <w:t>Task 6(</w:t>
      </w:r>
      <w:proofErr w:type="spellStart"/>
      <w:r w:rsidRPr="57431AF1">
        <w:rPr>
          <w:rFonts w:ascii="Georgia" w:eastAsia="Georgia" w:hAnsi="Georgia" w:cs="Georgia"/>
          <w:b/>
          <w:bCs/>
          <w:sz w:val="28"/>
          <w:szCs w:val="28"/>
          <w:u w:val="single"/>
        </w:rPr>
        <w:t>i</w:t>
      </w:r>
      <w:proofErr w:type="spellEnd"/>
      <w:r w:rsidRPr="57431AF1">
        <w:rPr>
          <w:rFonts w:ascii="Georgia" w:eastAsia="Georgia" w:hAnsi="Georgia" w:cs="Georgia"/>
          <w:b/>
          <w:bCs/>
          <w:sz w:val="28"/>
          <w:szCs w:val="28"/>
          <w:u w:val="single"/>
        </w:rPr>
        <w:t>)</w:t>
      </w:r>
    </w:p>
    <w:p w14:paraId="6E3D08A3" w14:textId="77777777" w:rsidR="002C6213" w:rsidRDefault="002C6213" w:rsidP="57431AF1">
      <w:pPr>
        <w:pStyle w:val="ListParagraph"/>
        <w:ind w:left="1440"/>
        <w:rPr>
          <w:rFonts w:ascii="Georgia" w:eastAsia="Georgia" w:hAnsi="Georgia" w:cs="Georgia"/>
          <w:sz w:val="24"/>
          <w:szCs w:val="24"/>
        </w:rPr>
      </w:pPr>
    </w:p>
    <w:p w14:paraId="0C4BDCB4" w14:textId="4CF7B85A" w:rsidR="57431AF1" w:rsidRDefault="57431AF1" w:rsidP="57431AF1">
      <w:pPr>
        <w:pStyle w:val="ListParagraph"/>
        <w:ind w:left="0"/>
        <w:jc w:val="center"/>
        <w:rPr>
          <w:rFonts w:ascii="Georgia" w:eastAsia="Georgia" w:hAnsi="Georgia" w:cs="Georgia"/>
          <w:b/>
          <w:bCs/>
          <w:sz w:val="28"/>
          <w:szCs w:val="28"/>
        </w:rPr>
      </w:pPr>
    </w:p>
    <w:p w14:paraId="14B96861" w14:textId="4108C199" w:rsidR="57431AF1" w:rsidRDefault="57431AF1" w:rsidP="57431AF1">
      <w:pPr>
        <w:pStyle w:val="ListParagraph"/>
        <w:ind w:left="0"/>
        <w:jc w:val="center"/>
        <w:rPr>
          <w:rFonts w:ascii="Georgia" w:eastAsia="Georgia" w:hAnsi="Georgia" w:cs="Georgia"/>
          <w:b/>
          <w:bCs/>
          <w:sz w:val="36"/>
          <w:szCs w:val="36"/>
          <w:u w:val="single"/>
        </w:rPr>
      </w:pPr>
      <w:r w:rsidRPr="57431AF1">
        <w:rPr>
          <w:rFonts w:ascii="Georgia" w:eastAsia="Georgia" w:hAnsi="Georgia" w:cs="Georgia"/>
          <w:b/>
          <w:bCs/>
          <w:sz w:val="36"/>
          <w:szCs w:val="36"/>
          <w:u w:val="single"/>
        </w:rPr>
        <w:t>SINGLE ASSET AND TWO ASSET PORTFOLIO ANALYSIS</w:t>
      </w:r>
    </w:p>
    <w:p w14:paraId="10439F81" w14:textId="0580ED03" w:rsidR="57431AF1" w:rsidRDefault="57431AF1" w:rsidP="57431AF1">
      <w:pPr>
        <w:rPr>
          <w:rFonts w:ascii="Georgia" w:eastAsia="Georgia" w:hAnsi="Georgia" w:cs="Georgia"/>
          <w:b/>
          <w:bCs/>
          <w:sz w:val="36"/>
          <w:szCs w:val="36"/>
        </w:rPr>
      </w:pPr>
    </w:p>
    <w:p w14:paraId="54B6B9B0" w14:textId="28692849" w:rsidR="004A5AB6" w:rsidRPr="003F2F3E" w:rsidRDefault="57431AF1" w:rsidP="57431AF1">
      <w:pPr>
        <w:rPr>
          <w:rFonts w:ascii="Georgia" w:eastAsia="Georgia" w:hAnsi="Georgia" w:cs="Georgia"/>
          <w:b/>
          <w:bCs/>
          <w:sz w:val="28"/>
          <w:szCs w:val="28"/>
        </w:rPr>
      </w:pPr>
      <w:r w:rsidRPr="57431AF1">
        <w:rPr>
          <w:rFonts w:ascii="Georgia" w:eastAsia="Georgia" w:hAnsi="Georgia" w:cs="Georgia"/>
          <w:b/>
          <w:bCs/>
          <w:sz w:val="28"/>
          <w:szCs w:val="28"/>
        </w:rPr>
        <w:t>Executive Summary</w:t>
      </w:r>
    </w:p>
    <w:p w14:paraId="653B4D1D" w14:textId="2A8780F0" w:rsidR="00524364" w:rsidRDefault="57431AF1" w:rsidP="57431AF1">
      <w:pPr>
        <w:rPr>
          <w:rFonts w:ascii="Georgia" w:eastAsia="Georgia" w:hAnsi="Georgia" w:cs="Georgia"/>
          <w:sz w:val="24"/>
          <w:szCs w:val="24"/>
        </w:rPr>
      </w:pPr>
      <w:r w:rsidRPr="57431AF1">
        <w:rPr>
          <w:rFonts w:ascii="Georgia" w:eastAsia="Georgia" w:hAnsi="Georgia" w:cs="Georgia"/>
          <w:sz w:val="24"/>
          <w:szCs w:val="24"/>
        </w:rPr>
        <w:t xml:space="preserve">This report covers the portfolios of six investors, in which three of them are holding stocks of three individual companies while the rest are holding stocks of two companies each. Investors A, B and C are investing in HDFC Ltd, ONGC Ltd and SpiceJet Ltd respectively while investor D holds a combination of HDFC and ONGC; E owns stocks in ONGC and SpiceJet. On the other </w:t>
      </w:r>
      <w:proofErr w:type="gramStart"/>
      <w:r w:rsidRPr="57431AF1">
        <w:rPr>
          <w:rFonts w:ascii="Georgia" w:eastAsia="Georgia" w:hAnsi="Georgia" w:cs="Georgia"/>
          <w:sz w:val="24"/>
          <w:szCs w:val="24"/>
        </w:rPr>
        <w:t>hand</w:t>
      </w:r>
      <w:proofErr w:type="gramEnd"/>
      <w:r w:rsidRPr="57431AF1">
        <w:rPr>
          <w:rFonts w:ascii="Georgia" w:eastAsia="Georgia" w:hAnsi="Georgia" w:cs="Georgia"/>
          <w:sz w:val="24"/>
          <w:szCs w:val="24"/>
        </w:rPr>
        <w:t xml:space="preserve"> investor F has shares of HDFC and SpiceJet in his portfolio.</w:t>
      </w:r>
    </w:p>
    <w:p w14:paraId="29E7A75E" w14:textId="2A8780F0" w:rsidR="57431AF1" w:rsidRDefault="57431AF1" w:rsidP="57431AF1">
      <w:pPr>
        <w:rPr>
          <w:rFonts w:ascii="Georgia" w:eastAsia="Georgia" w:hAnsi="Georgia" w:cs="Georgia"/>
          <w:sz w:val="24"/>
          <w:szCs w:val="24"/>
        </w:rPr>
      </w:pPr>
      <w:r w:rsidRPr="57431AF1">
        <w:rPr>
          <w:rFonts w:ascii="Georgia" w:eastAsia="Georgia" w:hAnsi="Georgia" w:cs="Georgia"/>
          <w:sz w:val="24"/>
          <w:szCs w:val="24"/>
        </w:rPr>
        <w:t xml:space="preserve">To understand and analyse which investor has higher returns per risk, we considered high prices of each company’s stocks. </w:t>
      </w:r>
    </w:p>
    <w:p w14:paraId="1B869615" w14:textId="63ED7DBD" w:rsidR="57431AF1" w:rsidRDefault="57431AF1" w:rsidP="57431AF1">
      <w:pPr>
        <w:pStyle w:val="ListParagraph"/>
        <w:jc w:val="center"/>
        <w:rPr>
          <w:rFonts w:ascii="Georgia" w:eastAsia="Georgia" w:hAnsi="Georgia" w:cs="Georgia"/>
          <w:b/>
          <w:bCs/>
          <w:sz w:val="24"/>
          <w:szCs w:val="24"/>
          <w:u w:val="single"/>
        </w:rPr>
      </w:pPr>
    </w:p>
    <w:p w14:paraId="796C72DC" w14:textId="77F022AB" w:rsidR="00B90446" w:rsidRPr="00B90446" w:rsidRDefault="57431AF1" w:rsidP="57431AF1">
      <w:pPr>
        <w:pStyle w:val="ListParagraph"/>
        <w:jc w:val="center"/>
        <w:rPr>
          <w:rFonts w:ascii="Georgia" w:eastAsia="Georgia" w:hAnsi="Georgia" w:cs="Georgia"/>
          <w:b/>
          <w:bCs/>
          <w:sz w:val="24"/>
          <w:szCs w:val="24"/>
          <w:u w:val="single"/>
        </w:rPr>
      </w:pPr>
      <w:r w:rsidRPr="57431AF1">
        <w:rPr>
          <w:rFonts w:ascii="Georgia" w:eastAsia="Georgia" w:hAnsi="Georgia" w:cs="Georgia"/>
          <w:b/>
          <w:bCs/>
          <w:sz w:val="24"/>
          <w:szCs w:val="24"/>
          <w:u w:val="single"/>
        </w:rPr>
        <w:t>High prices of HDFC, ONGC and SpiceJet</w:t>
      </w:r>
    </w:p>
    <w:p w14:paraId="47D408E2" w14:textId="476CD93E" w:rsidR="00C203D6" w:rsidRDefault="00756655" w:rsidP="57431AF1">
      <w:pPr>
        <w:jc w:val="center"/>
        <w:rPr>
          <w:rFonts w:ascii="Georgia" w:eastAsia="Georgia" w:hAnsi="Georgia" w:cs="Georgia"/>
          <w:noProof/>
          <w:sz w:val="24"/>
          <w:szCs w:val="24"/>
        </w:rPr>
      </w:pPr>
      <w:r>
        <w:rPr>
          <w:noProof/>
        </w:rPr>
        <w:drawing>
          <wp:inline distT="0" distB="0" distL="0" distR="0" wp14:anchorId="2C4E159C" wp14:editId="07C04E40">
            <wp:extent cx="2498276" cy="1914525"/>
            <wp:effectExtent l="0" t="0" r="0" b="0"/>
            <wp:docPr id="1468316111" name="Picture 146831611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8316111"/>
                    <pic:cNvPicPr/>
                  </pic:nvPicPr>
                  <pic:blipFill>
                    <a:blip r:embed="rId10">
                      <a:extLst>
                        <a:ext uri="{28A0092B-C50C-407E-A947-70E740481C1C}">
                          <a14:useLocalDpi xmlns:a14="http://schemas.microsoft.com/office/drawing/2010/main" val="0"/>
                        </a:ext>
                      </a:extLst>
                    </a:blip>
                    <a:stretch>
                      <a:fillRect/>
                    </a:stretch>
                  </pic:blipFill>
                  <pic:spPr>
                    <a:xfrm>
                      <a:off x="0" y="0"/>
                      <a:ext cx="2498276" cy="1914525"/>
                    </a:xfrm>
                    <a:prstGeom prst="rect">
                      <a:avLst/>
                    </a:prstGeom>
                  </pic:spPr>
                </pic:pic>
              </a:graphicData>
            </a:graphic>
          </wp:inline>
        </w:drawing>
      </w:r>
      <w:r w:rsidR="57431AF1" w:rsidRPr="57431AF1">
        <w:rPr>
          <w:rFonts w:ascii="Georgia" w:eastAsia="Georgia" w:hAnsi="Georgia" w:cs="Georgia"/>
          <w:noProof/>
          <w:sz w:val="24"/>
          <w:szCs w:val="24"/>
        </w:rPr>
        <w:t xml:space="preserve">        </w:t>
      </w:r>
      <w:r>
        <w:rPr>
          <w:noProof/>
        </w:rPr>
        <w:drawing>
          <wp:inline distT="0" distB="0" distL="0" distR="0" wp14:anchorId="2F18A4A6" wp14:editId="31B1E9DC">
            <wp:extent cx="2485998" cy="1885950"/>
            <wp:effectExtent l="0" t="0" r="0" b="0"/>
            <wp:docPr id="143336731" name="Picture 143336731"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336731"/>
                    <pic:cNvPicPr/>
                  </pic:nvPicPr>
                  <pic:blipFill>
                    <a:blip r:embed="rId11">
                      <a:extLst>
                        <a:ext uri="{28A0092B-C50C-407E-A947-70E740481C1C}">
                          <a14:useLocalDpi xmlns:a14="http://schemas.microsoft.com/office/drawing/2010/main" val="0"/>
                        </a:ext>
                      </a:extLst>
                    </a:blip>
                    <a:stretch>
                      <a:fillRect/>
                    </a:stretch>
                  </pic:blipFill>
                  <pic:spPr>
                    <a:xfrm>
                      <a:off x="0" y="0"/>
                      <a:ext cx="2485998" cy="1885950"/>
                    </a:xfrm>
                    <a:prstGeom prst="rect">
                      <a:avLst/>
                    </a:prstGeom>
                  </pic:spPr>
                </pic:pic>
              </a:graphicData>
            </a:graphic>
          </wp:inline>
        </w:drawing>
      </w:r>
      <w:r w:rsidR="57431AF1" w:rsidRPr="57431AF1">
        <w:rPr>
          <w:rFonts w:ascii="Georgia" w:eastAsia="Georgia" w:hAnsi="Georgia" w:cs="Georgia"/>
          <w:noProof/>
          <w:sz w:val="24"/>
          <w:szCs w:val="24"/>
        </w:rPr>
        <w:t xml:space="preserve">    </w:t>
      </w:r>
    </w:p>
    <w:p w14:paraId="0D6D61B3" w14:textId="1A894B48" w:rsidR="00C203D6" w:rsidRDefault="57431AF1" w:rsidP="57431AF1">
      <w:pPr>
        <w:spacing w:after="0" w:line="168" w:lineRule="auto"/>
        <w:rPr>
          <w:rFonts w:ascii="Georgia" w:eastAsia="Georgia" w:hAnsi="Georgia" w:cs="Georgia"/>
          <w:noProof/>
          <w:sz w:val="18"/>
          <w:szCs w:val="18"/>
        </w:rPr>
      </w:pPr>
      <w:r w:rsidRPr="57431AF1">
        <w:rPr>
          <w:rFonts w:ascii="Georgia" w:eastAsia="Georgia" w:hAnsi="Georgia" w:cs="Georgia"/>
          <w:noProof/>
          <w:sz w:val="24"/>
          <w:szCs w:val="24"/>
        </w:rPr>
        <w:t xml:space="preserve">    </w:t>
      </w:r>
    </w:p>
    <w:p w14:paraId="25EED470" w14:textId="68285573" w:rsidR="00C203D6" w:rsidRDefault="57431AF1" w:rsidP="57431AF1">
      <w:pPr>
        <w:spacing w:after="0" w:line="168" w:lineRule="auto"/>
        <w:rPr>
          <w:rFonts w:ascii="Georgia" w:eastAsia="Georgia" w:hAnsi="Georgia" w:cs="Georgia"/>
          <w:noProof/>
          <w:sz w:val="18"/>
          <w:szCs w:val="18"/>
        </w:rPr>
      </w:pPr>
      <w:r w:rsidRPr="57431AF1">
        <w:rPr>
          <w:rFonts w:ascii="Georgia" w:eastAsia="Georgia" w:hAnsi="Georgia" w:cs="Georgia"/>
          <w:noProof/>
          <w:sz w:val="24"/>
          <w:szCs w:val="24"/>
        </w:rPr>
        <w:t xml:space="preserve">  </w:t>
      </w:r>
      <w:r w:rsidRPr="57431AF1">
        <w:rPr>
          <w:rFonts w:ascii="Georgia" w:eastAsia="Georgia" w:hAnsi="Georgia" w:cs="Georgia"/>
          <w:noProof/>
          <w:sz w:val="18"/>
          <w:szCs w:val="18"/>
        </w:rPr>
        <w:t>The prices are less volatile and does not flutuate                 The prices are more volatile and increasing in nature.</w:t>
      </w:r>
    </w:p>
    <w:p w14:paraId="1AC72191" w14:textId="112A2B80" w:rsidR="00C203D6" w:rsidRDefault="57431AF1" w:rsidP="57431AF1">
      <w:pPr>
        <w:spacing w:after="0" w:line="168" w:lineRule="auto"/>
        <w:rPr>
          <w:rFonts w:ascii="Georgia" w:eastAsia="Georgia" w:hAnsi="Georgia" w:cs="Georgia"/>
          <w:noProof/>
          <w:sz w:val="18"/>
          <w:szCs w:val="18"/>
        </w:rPr>
      </w:pPr>
      <w:r w:rsidRPr="57431AF1">
        <w:rPr>
          <w:rFonts w:ascii="Georgia" w:eastAsia="Georgia" w:hAnsi="Georgia" w:cs="Georgia"/>
          <w:noProof/>
          <w:sz w:val="18"/>
          <w:szCs w:val="18"/>
        </w:rPr>
        <w:t xml:space="preserve">                                             much.                                                                 </w:t>
      </w:r>
    </w:p>
    <w:p w14:paraId="66A030A0" w14:textId="195668E6" w:rsidR="00C203D6" w:rsidRDefault="57431AF1" w:rsidP="57431AF1">
      <w:pPr>
        <w:spacing w:after="0" w:line="168" w:lineRule="auto"/>
        <w:rPr>
          <w:rFonts w:ascii="Georgia" w:eastAsia="Georgia" w:hAnsi="Georgia" w:cs="Georgia"/>
          <w:noProof/>
          <w:sz w:val="18"/>
          <w:szCs w:val="18"/>
        </w:rPr>
      </w:pPr>
      <w:r w:rsidRPr="57431AF1">
        <w:rPr>
          <w:rFonts w:ascii="Georgia" w:eastAsia="Georgia" w:hAnsi="Georgia" w:cs="Georgia"/>
          <w:noProof/>
          <w:sz w:val="18"/>
          <w:szCs w:val="18"/>
        </w:rPr>
        <w:t xml:space="preserve">               </w:t>
      </w:r>
    </w:p>
    <w:p w14:paraId="138EB561" w14:textId="2924FEE4" w:rsidR="00C203D6" w:rsidRDefault="57431AF1" w:rsidP="57431AF1">
      <w:pPr>
        <w:spacing w:after="0"/>
        <w:rPr>
          <w:rFonts w:ascii="Georgia" w:eastAsia="Georgia" w:hAnsi="Georgia" w:cs="Georgia"/>
          <w:noProof/>
          <w:sz w:val="24"/>
          <w:szCs w:val="24"/>
        </w:rPr>
      </w:pPr>
      <w:r w:rsidRPr="57431AF1">
        <w:rPr>
          <w:rFonts w:ascii="Georgia" w:eastAsia="Georgia" w:hAnsi="Georgia" w:cs="Georgia"/>
          <w:noProof/>
          <w:sz w:val="24"/>
          <w:szCs w:val="24"/>
        </w:rPr>
        <w:t xml:space="preserve">  </w:t>
      </w:r>
    </w:p>
    <w:p w14:paraId="318F1A70" w14:textId="0A4CE5C4" w:rsidR="00880960" w:rsidRDefault="57431AF1" w:rsidP="57431AF1">
      <w:pPr>
        <w:spacing w:line="257" w:lineRule="auto"/>
        <w:jc w:val="center"/>
        <w:rPr>
          <w:rFonts w:ascii="Georgia" w:eastAsia="Georgia" w:hAnsi="Georgia" w:cs="Georgia"/>
          <w:noProof/>
          <w:sz w:val="24"/>
          <w:szCs w:val="24"/>
        </w:rPr>
      </w:pPr>
      <w:r w:rsidRPr="57431AF1">
        <w:rPr>
          <w:rFonts w:ascii="Georgia" w:eastAsia="Georgia" w:hAnsi="Georgia" w:cs="Georgia"/>
          <w:noProof/>
          <w:sz w:val="24"/>
          <w:szCs w:val="24"/>
        </w:rPr>
        <w:t xml:space="preserve">   </w:t>
      </w:r>
      <w:r w:rsidR="00880960">
        <w:rPr>
          <w:noProof/>
        </w:rPr>
        <w:drawing>
          <wp:inline distT="0" distB="0" distL="0" distR="0" wp14:anchorId="53451951" wp14:editId="098C0C64">
            <wp:extent cx="2508885" cy="1895020"/>
            <wp:effectExtent l="0" t="0" r="5715" b="0"/>
            <wp:docPr id="1867144678" name="Picture 1867144678"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7144678"/>
                    <pic:cNvPicPr/>
                  </pic:nvPicPr>
                  <pic:blipFill>
                    <a:blip r:embed="rId12">
                      <a:extLst>
                        <a:ext uri="{28A0092B-C50C-407E-A947-70E740481C1C}">
                          <a14:useLocalDpi xmlns:a14="http://schemas.microsoft.com/office/drawing/2010/main" val="0"/>
                        </a:ext>
                      </a:extLst>
                    </a:blip>
                    <a:stretch>
                      <a:fillRect/>
                    </a:stretch>
                  </pic:blipFill>
                  <pic:spPr>
                    <a:xfrm>
                      <a:off x="0" y="0"/>
                      <a:ext cx="2508885" cy="1895020"/>
                    </a:xfrm>
                    <a:prstGeom prst="rect">
                      <a:avLst/>
                    </a:prstGeom>
                  </pic:spPr>
                </pic:pic>
              </a:graphicData>
            </a:graphic>
          </wp:inline>
        </w:drawing>
      </w:r>
      <w:r w:rsidRPr="57431AF1">
        <w:rPr>
          <w:rFonts w:ascii="Georgia" w:eastAsia="Georgia" w:hAnsi="Georgia" w:cs="Georgia"/>
          <w:noProof/>
          <w:sz w:val="24"/>
          <w:szCs w:val="24"/>
        </w:rPr>
        <w:t xml:space="preserve">    </w:t>
      </w:r>
    </w:p>
    <w:p w14:paraId="582DE35B" w14:textId="6B944388" w:rsidR="00880960" w:rsidRDefault="57431AF1" w:rsidP="57431AF1">
      <w:pPr>
        <w:spacing w:line="257" w:lineRule="auto"/>
        <w:jc w:val="center"/>
        <w:rPr>
          <w:rFonts w:ascii="Georgia" w:eastAsia="Georgia" w:hAnsi="Georgia" w:cs="Georgia"/>
          <w:noProof/>
          <w:sz w:val="24"/>
          <w:szCs w:val="24"/>
        </w:rPr>
      </w:pPr>
      <w:r w:rsidRPr="57431AF1">
        <w:rPr>
          <w:rFonts w:ascii="Georgia" w:eastAsia="Georgia" w:hAnsi="Georgia" w:cs="Georgia"/>
          <w:noProof/>
          <w:sz w:val="18"/>
          <w:szCs w:val="18"/>
        </w:rPr>
        <w:t xml:space="preserve">The prices are volatile and decreasing </w:t>
      </w:r>
      <w:r w:rsidRPr="57431AF1">
        <w:rPr>
          <w:rFonts w:ascii="Georgia" w:eastAsia="Georgia" w:hAnsi="Georgia" w:cs="Georgia"/>
          <w:noProof/>
          <w:sz w:val="24"/>
          <w:szCs w:val="24"/>
        </w:rPr>
        <w:t>.</w:t>
      </w:r>
    </w:p>
    <w:p w14:paraId="4DD2EE6C" w14:textId="5064814F" w:rsidR="00880960" w:rsidRDefault="57431AF1" w:rsidP="57431AF1">
      <w:pPr>
        <w:jc w:val="center"/>
        <w:rPr>
          <w:rFonts w:ascii="Georgia" w:eastAsia="Georgia" w:hAnsi="Georgia" w:cs="Georgia"/>
          <w:b/>
          <w:bCs/>
          <w:noProof/>
          <w:sz w:val="24"/>
          <w:szCs w:val="24"/>
        </w:rPr>
      </w:pPr>
      <w:r w:rsidRPr="57431AF1">
        <w:rPr>
          <w:rFonts w:ascii="Georgia" w:eastAsia="Georgia" w:hAnsi="Georgia" w:cs="Georgia"/>
          <w:b/>
          <w:bCs/>
          <w:noProof/>
          <w:sz w:val="24"/>
          <w:szCs w:val="24"/>
        </w:rPr>
        <w:lastRenderedPageBreak/>
        <w:t xml:space="preserve"> </w:t>
      </w:r>
    </w:p>
    <w:p w14:paraId="25F0B867" w14:textId="4B755346" w:rsidR="00707830" w:rsidRDefault="57431AF1" w:rsidP="00AD1EBF">
      <w:pPr>
        <w:jc w:val="center"/>
        <w:rPr>
          <w:rFonts w:ascii="Georgia" w:eastAsia="Georgia" w:hAnsi="Georgia" w:cs="Georgia"/>
          <w:b/>
          <w:bCs/>
          <w:sz w:val="24"/>
          <w:szCs w:val="24"/>
          <w:u w:val="single"/>
        </w:rPr>
      </w:pPr>
      <w:r w:rsidRPr="57431AF1">
        <w:rPr>
          <w:rFonts w:ascii="Georgia" w:eastAsia="Georgia" w:hAnsi="Georgia" w:cs="Georgia"/>
          <w:b/>
          <w:bCs/>
          <w:sz w:val="24"/>
          <w:szCs w:val="24"/>
          <w:u w:val="single"/>
        </w:rPr>
        <w:t xml:space="preserve">The following table showcases the expected returns and volatility of the                                                        </w:t>
      </w:r>
      <w:r w:rsidR="00AD1EBF">
        <w:rPr>
          <w:rFonts w:ascii="Georgia" w:eastAsia="Georgia" w:hAnsi="Georgia" w:cs="Georgia"/>
          <w:b/>
          <w:bCs/>
          <w:sz w:val="24"/>
          <w:szCs w:val="24"/>
          <w:u w:val="single"/>
        </w:rPr>
        <w:t xml:space="preserve">                      </w:t>
      </w:r>
      <w:r w:rsidRPr="57431AF1">
        <w:rPr>
          <w:rFonts w:ascii="Georgia" w:eastAsia="Georgia" w:hAnsi="Georgia" w:cs="Georgia"/>
          <w:b/>
          <w:bCs/>
          <w:sz w:val="24"/>
          <w:szCs w:val="24"/>
          <w:u w:val="single"/>
        </w:rPr>
        <w:t>investor portfolio</w:t>
      </w:r>
      <w:r w:rsidR="00AD1EBF">
        <w:rPr>
          <w:rFonts w:ascii="Georgia" w:eastAsia="Georgia" w:hAnsi="Georgia" w:cs="Georgia"/>
          <w:b/>
          <w:bCs/>
          <w:sz w:val="24"/>
          <w:szCs w:val="24"/>
          <w:u w:val="single"/>
        </w:rPr>
        <w:t>s</w:t>
      </w:r>
    </w:p>
    <w:p w14:paraId="6F08938C" w14:textId="77777777" w:rsidR="00AD1EBF" w:rsidRPr="00707830" w:rsidRDefault="00AD1EBF" w:rsidP="00AD1EBF">
      <w:pPr>
        <w:jc w:val="center"/>
        <w:rPr>
          <w:rFonts w:ascii="Georgia" w:eastAsia="Georgia" w:hAnsi="Georgia" w:cs="Georgia"/>
          <w:b/>
          <w:bCs/>
          <w:sz w:val="24"/>
          <w:szCs w:val="24"/>
          <w:u w:val="single"/>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6A0" w:firstRow="1" w:lastRow="0" w:firstColumn="1" w:lastColumn="0" w:noHBand="1" w:noVBand="1"/>
      </w:tblPr>
      <w:tblGrid>
        <w:gridCol w:w="2745"/>
        <w:gridCol w:w="2100"/>
        <w:gridCol w:w="3465"/>
      </w:tblGrid>
      <w:tr w:rsidR="47AEEBD8" w14:paraId="41CAEABA" w14:textId="77777777" w:rsidTr="002C1041">
        <w:trPr>
          <w:trHeight w:val="300"/>
          <w:jc w:val="center"/>
        </w:trPr>
        <w:tc>
          <w:tcPr>
            <w:tcW w:w="2745" w:type="dxa"/>
            <w:vAlign w:val="bottom"/>
          </w:tcPr>
          <w:p w14:paraId="31111C87" w14:textId="652ECDE9" w:rsidR="34C33714" w:rsidRPr="34C33714" w:rsidRDefault="57431AF1" w:rsidP="002C1041">
            <w:pPr>
              <w:spacing w:line="600" w:lineRule="auto"/>
              <w:jc w:val="center"/>
              <w:rPr>
                <w:rFonts w:ascii="Georgia" w:eastAsia="Georgia" w:hAnsi="Georgia" w:cs="Georgia"/>
                <w:b/>
                <w:bCs/>
                <w:color w:val="000000" w:themeColor="text1"/>
                <w:sz w:val="24"/>
                <w:szCs w:val="24"/>
              </w:rPr>
            </w:pPr>
            <w:r w:rsidRPr="57431AF1">
              <w:rPr>
                <w:rFonts w:ascii="Georgia" w:eastAsia="Georgia" w:hAnsi="Georgia" w:cs="Georgia"/>
                <w:b/>
                <w:bCs/>
                <w:color w:val="000000" w:themeColor="text1"/>
                <w:sz w:val="24"/>
                <w:szCs w:val="24"/>
              </w:rPr>
              <w:t>INVESTORS</w:t>
            </w:r>
          </w:p>
        </w:tc>
        <w:tc>
          <w:tcPr>
            <w:tcW w:w="2100" w:type="dxa"/>
            <w:vAlign w:val="bottom"/>
          </w:tcPr>
          <w:p w14:paraId="7FA5BFBD" w14:textId="7DE2D3C6" w:rsidR="47AEEBD8" w:rsidRDefault="57431AF1" w:rsidP="002C1041">
            <w:pPr>
              <w:spacing w:line="360" w:lineRule="auto"/>
              <w:jc w:val="center"/>
              <w:rPr>
                <w:rFonts w:ascii="Georgia" w:eastAsia="Georgia" w:hAnsi="Georgia" w:cs="Georgia"/>
                <w:b/>
                <w:bCs/>
                <w:color w:val="000000" w:themeColor="text1"/>
                <w:sz w:val="24"/>
                <w:szCs w:val="24"/>
              </w:rPr>
            </w:pPr>
            <w:r w:rsidRPr="57431AF1">
              <w:rPr>
                <w:rFonts w:ascii="Georgia" w:eastAsia="Georgia" w:hAnsi="Georgia" w:cs="Georgia"/>
                <w:b/>
                <w:bCs/>
                <w:color w:val="000000" w:themeColor="text1"/>
                <w:sz w:val="24"/>
                <w:szCs w:val="24"/>
              </w:rPr>
              <w:t>EXPECTED RETURN ON SHARES</w:t>
            </w:r>
          </w:p>
        </w:tc>
        <w:tc>
          <w:tcPr>
            <w:tcW w:w="3465" w:type="dxa"/>
            <w:vAlign w:val="bottom"/>
          </w:tcPr>
          <w:p w14:paraId="521731EB" w14:textId="430FCE52" w:rsidR="002D24C6" w:rsidRDefault="57431AF1" w:rsidP="57431AF1">
            <w:pPr>
              <w:spacing w:line="276" w:lineRule="auto"/>
              <w:jc w:val="center"/>
              <w:rPr>
                <w:rFonts w:ascii="Georgia" w:eastAsia="Georgia" w:hAnsi="Georgia" w:cs="Georgia"/>
                <w:b/>
                <w:bCs/>
                <w:color w:val="000000" w:themeColor="text1"/>
                <w:sz w:val="24"/>
                <w:szCs w:val="24"/>
              </w:rPr>
            </w:pPr>
            <w:r w:rsidRPr="57431AF1">
              <w:rPr>
                <w:rFonts w:ascii="Georgia" w:eastAsia="Georgia" w:hAnsi="Georgia" w:cs="Georgia"/>
                <w:b/>
                <w:bCs/>
                <w:color w:val="000000" w:themeColor="text1"/>
                <w:sz w:val="24"/>
                <w:szCs w:val="24"/>
              </w:rPr>
              <w:t xml:space="preserve"> VOLATILITY OF THE PORTFOLIOS</w:t>
            </w:r>
          </w:p>
          <w:p w14:paraId="0BAB49B9" w14:textId="23795099" w:rsidR="00162FC4" w:rsidRPr="002D24C6" w:rsidRDefault="57431AF1" w:rsidP="57431AF1">
            <w:pPr>
              <w:spacing w:line="276" w:lineRule="auto"/>
              <w:jc w:val="center"/>
              <w:rPr>
                <w:rFonts w:ascii="Georgia" w:eastAsia="Georgia" w:hAnsi="Georgia" w:cs="Georgia"/>
                <w:b/>
                <w:bCs/>
                <w:color w:val="000000" w:themeColor="text1"/>
                <w:sz w:val="24"/>
                <w:szCs w:val="24"/>
              </w:rPr>
            </w:pPr>
            <w:r w:rsidRPr="57431AF1">
              <w:rPr>
                <w:rFonts w:ascii="Georgia" w:eastAsia="Georgia" w:hAnsi="Georgia" w:cs="Georgia"/>
                <w:b/>
                <w:bCs/>
                <w:color w:val="000000" w:themeColor="text1"/>
                <w:sz w:val="24"/>
                <w:szCs w:val="24"/>
              </w:rPr>
              <w:t>(STANDARD DEVIATION)</w:t>
            </w:r>
          </w:p>
        </w:tc>
      </w:tr>
      <w:tr w:rsidR="47AEEBD8" w14:paraId="66F6C5A4" w14:textId="77777777" w:rsidTr="002C1041">
        <w:trPr>
          <w:trHeight w:val="300"/>
          <w:jc w:val="center"/>
        </w:trPr>
        <w:tc>
          <w:tcPr>
            <w:tcW w:w="2745" w:type="dxa"/>
            <w:vAlign w:val="bottom"/>
          </w:tcPr>
          <w:p w14:paraId="07276867" w14:textId="08D7B8C4" w:rsidR="34C33714" w:rsidRPr="34C33714" w:rsidRDefault="57431AF1" w:rsidP="00AD1EBF">
            <w:pPr>
              <w:spacing w:line="276" w:lineRule="auto"/>
              <w:jc w:val="center"/>
              <w:rPr>
                <w:rFonts w:ascii="Georgia" w:eastAsia="Georgia" w:hAnsi="Georgia" w:cs="Georgia"/>
                <w:color w:val="000000" w:themeColor="text1"/>
                <w:sz w:val="24"/>
                <w:szCs w:val="24"/>
              </w:rPr>
            </w:pPr>
            <w:r w:rsidRPr="57431AF1">
              <w:rPr>
                <w:rFonts w:ascii="Georgia" w:eastAsia="Georgia" w:hAnsi="Georgia" w:cs="Georgia"/>
                <w:color w:val="000000" w:themeColor="text1"/>
                <w:sz w:val="24"/>
                <w:szCs w:val="24"/>
              </w:rPr>
              <w:t>A (HDFC)</w:t>
            </w:r>
          </w:p>
        </w:tc>
        <w:tc>
          <w:tcPr>
            <w:tcW w:w="2100" w:type="dxa"/>
            <w:vAlign w:val="bottom"/>
          </w:tcPr>
          <w:p w14:paraId="5F87235C" w14:textId="13F8E339" w:rsidR="47AEEBD8" w:rsidRDefault="57431AF1" w:rsidP="00AD1EBF">
            <w:pPr>
              <w:spacing w:line="276" w:lineRule="auto"/>
              <w:jc w:val="center"/>
              <w:rPr>
                <w:rFonts w:ascii="Georgia" w:eastAsia="Georgia" w:hAnsi="Georgia" w:cs="Georgia"/>
                <w:color w:val="000000" w:themeColor="text1"/>
                <w:sz w:val="24"/>
                <w:szCs w:val="24"/>
              </w:rPr>
            </w:pPr>
            <w:r w:rsidRPr="57431AF1">
              <w:rPr>
                <w:rFonts w:ascii="Georgia" w:eastAsia="Georgia" w:hAnsi="Georgia" w:cs="Georgia"/>
                <w:color w:val="000000" w:themeColor="text1"/>
                <w:sz w:val="24"/>
                <w:szCs w:val="24"/>
              </w:rPr>
              <w:t>0.000392228</w:t>
            </w:r>
          </w:p>
        </w:tc>
        <w:tc>
          <w:tcPr>
            <w:tcW w:w="3465" w:type="dxa"/>
            <w:vAlign w:val="bottom"/>
          </w:tcPr>
          <w:p w14:paraId="3C4B8E5A" w14:textId="4BD3FACC" w:rsidR="47AEEBD8" w:rsidRDefault="57431AF1" w:rsidP="00AD1EBF">
            <w:pPr>
              <w:spacing w:line="276" w:lineRule="auto"/>
              <w:jc w:val="center"/>
              <w:rPr>
                <w:rFonts w:ascii="Georgia" w:eastAsia="Georgia" w:hAnsi="Georgia" w:cs="Georgia"/>
                <w:color w:val="000000" w:themeColor="text1"/>
                <w:sz w:val="24"/>
                <w:szCs w:val="24"/>
              </w:rPr>
            </w:pPr>
            <w:r w:rsidRPr="57431AF1">
              <w:rPr>
                <w:rFonts w:ascii="Georgia" w:eastAsia="Georgia" w:hAnsi="Georgia" w:cs="Georgia"/>
                <w:color w:val="000000" w:themeColor="text1"/>
                <w:sz w:val="24"/>
                <w:szCs w:val="24"/>
              </w:rPr>
              <w:t>0.0139913</w:t>
            </w:r>
          </w:p>
        </w:tc>
      </w:tr>
      <w:tr w:rsidR="47AEEBD8" w14:paraId="64D98788" w14:textId="77777777" w:rsidTr="002C1041">
        <w:trPr>
          <w:trHeight w:val="300"/>
          <w:jc w:val="center"/>
        </w:trPr>
        <w:tc>
          <w:tcPr>
            <w:tcW w:w="2745" w:type="dxa"/>
            <w:vAlign w:val="bottom"/>
          </w:tcPr>
          <w:p w14:paraId="7B994DC5" w14:textId="0494A7D3" w:rsidR="34C33714" w:rsidRPr="34C33714" w:rsidRDefault="57431AF1" w:rsidP="00AD1EBF">
            <w:pPr>
              <w:spacing w:line="276" w:lineRule="auto"/>
              <w:jc w:val="center"/>
              <w:rPr>
                <w:rFonts w:ascii="Georgia" w:eastAsia="Georgia" w:hAnsi="Georgia" w:cs="Georgia"/>
                <w:color w:val="000000" w:themeColor="text1"/>
                <w:sz w:val="24"/>
                <w:szCs w:val="24"/>
              </w:rPr>
            </w:pPr>
            <w:r w:rsidRPr="57431AF1">
              <w:rPr>
                <w:rFonts w:ascii="Georgia" w:eastAsia="Georgia" w:hAnsi="Georgia" w:cs="Georgia"/>
                <w:color w:val="000000" w:themeColor="text1"/>
                <w:sz w:val="24"/>
                <w:szCs w:val="24"/>
              </w:rPr>
              <w:t>B (ONGC)</w:t>
            </w:r>
          </w:p>
        </w:tc>
        <w:tc>
          <w:tcPr>
            <w:tcW w:w="2100" w:type="dxa"/>
            <w:vAlign w:val="bottom"/>
          </w:tcPr>
          <w:p w14:paraId="4780115E" w14:textId="3668ABA3" w:rsidR="47AEEBD8" w:rsidRDefault="57431AF1" w:rsidP="00AD1EBF">
            <w:pPr>
              <w:spacing w:line="276" w:lineRule="auto"/>
              <w:jc w:val="center"/>
              <w:rPr>
                <w:rFonts w:ascii="Georgia" w:eastAsia="Georgia" w:hAnsi="Georgia" w:cs="Georgia"/>
                <w:color w:val="000000" w:themeColor="text1"/>
                <w:sz w:val="24"/>
                <w:szCs w:val="24"/>
              </w:rPr>
            </w:pPr>
            <w:r w:rsidRPr="57431AF1">
              <w:rPr>
                <w:rFonts w:ascii="Georgia" w:eastAsia="Georgia" w:hAnsi="Georgia" w:cs="Georgia"/>
                <w:color w:val="000000" w:themeColor="text1"/>
                <w:sz w:val="24"/>
                <w:szCs w:val="24"/>
              </w:rPr>
              <w:t>0.001497395</w:t>
            </w:r>
          </w:p>
        </w:tc>
        <w:tc>
          <w:tcPr>
            <w:tcW w:w="3465" w:type="dxa"/>
            <w:vAlign w:val="bottom"/>
          </w:tcPr>
          <w:p w14:paraId="4BF3008D" w14:textId="559025CF" w:rsidR="47AEEBD8" w:rsidRDefault="57431AF1" w:rsidP="00AD1EBF">
            <w:pPr>
              <w:spacing w:line="276" w:lineRule="auto"/>
              <w:jc w:val="center"/>
              <w:rPr>
                <w:rFonts w:ascii="Georgia" w:eastAsia="Georgia" w:hAnsi="Georgia" w:cs="Georgia"/>
                <w:color w:val="000000" w:themeColor="text1"/>
                <w:sz w:val="24"/>
                <w:szCs w:val="24"/>
              </w:rPr>
            </w:pPr>
            <w:r w:rsidRPr="57431AF1">
              <w:rPr>
                <w:rFonts w:ascii="Georgia" w:eastAsia="Georgia" w:hAnsi="Georgia" w:cs="Georgia"/>
                <w:color w:val="000000" w:themeColor="text1"/>
                <w:sz w:val="24"/>
                <w:szCs w:val="24"/>
              </w:rPr>
              <w:t>0.022926</w:t>
            </w:r>
          </w:p>
        </w:tc>
      </w:tr>
      <w:tr w:rsidR="47AEEBD8" w14:paraId="7E6D69F8" w14:textId="77777777" w:rsidTr="002C1041">
        <w:trPr>
          <w:trHeight w:val="300"/>
          <w:jc w:val="center"/>
        </w:trPr>
        <w:tc>
          <w:tcPr>
            <w:tcW w:w="2745" w:type="dxa"/>
            <w:vAlign w:val="bottom"/>
          </w:tcPr>
          <w:p w14:paraId="796880A1" w14:textId="29DCB24B" w:rsidR="34C33714" w:rsidRPr="34C33714" w:rsidRDefault="57431AF1" w:rsidP="00AD1EBF">
            <w:pPr>
              <w:spacing w:line="276" w:lineRule="auto"/>
              <w:jc w:val="center"/>
              <w:rPr>
                <w:rFonts w:ascii="Georgia" w:eastAsia="Georgia" w:hAnsi="Georgia" w:cs="Georgia"/>
                <w:color w:val="000000" w:themeColor="text1"/>
                <w:sz w:val="24"/>
                <w:szCs w:val="24"/>
              </w:rPr>
            </w:pPr>
            <w:r w:rsidRPr="57431AF1">
              <w:rPr>
                <w:rFonts w:ascii="Georgia" w:eastAsia="Georgia" w:hAnsi="Georgia" w:cs="Georgia"/>
                <w:color w:val="000000" w:themeColor="text1"/>
                <w:sz w:val="24"/>
                <w:szCs w:val="24"/>
              </w:rPr>
              <w:t>C (SICEJET)</w:t>
            </w:r>
          </w:p>
        </w:tc>
        <w:tc>
          <w:tcPr>
            <w:tcW w:w="2100" w:type="dxa"/>
            <w:vAlign w:val="bottom"/>
          </w:tcPr>
          <w:p w14:paraId="2394CBB4" w14:textId="0CF264D5" w:rsidR="47AEEBD8" w:rsidRDefault="57431AF1" w:rsidP="00AD1EBF">
            <w:pPr>
              <w:spacing w:line="276" w:lineRule="auto"/>
              <w:jc w:val="center"/>
              <w:rPr>
                <w:rFonts w:ascii="Georgia" w:eastAsia="Georgia" w:hAnsi="Georgia" w:cs="Georgia"/>
                <w:color w:val="000000" w:themeColor="text1"/>
                <w:sz w:val="24"/>
                <w:szCs w:val="24"/>
              </w:rPr>
            </w:pPr>
            <w:r w:rsidRPr="57431AF1">
              <w:rPr>
                <w:rFonts w:ascii="Georgia" w:eastAsia="Georgia" w:hAnsi="Georgia" w:cs="Georgia"/>
                <w:color w:val="000000" w:themeColor="text1"/>
                <w:sz w:val="24"/>
                <w:szCs w:val="24"/>
              </w:rPr>
              <w:t>-0.001722663</w:t>
            </w:r>
          </w:p>
        </w:tc>
        <w:tc>
          <w:tcPr>
            <w:tcW w:w="3465" w:type="dxa"/>
            <w:vAlign w:val="bottom"/>
          </w:tcPr>
          <w:p w14:paraId="6C720A63" w14:textId="678CB46E" w:rsidR="47AEEBD8" w:rsidRDefault="57431AF1" w:rsidP="00AD1EBF">
            <w:pPr>
              <w:spacing w:line="276" w:lineRule="auto"/>
              <w:jc w:val="center"/>
              <w:rPr>
                <w:rFonts w:ascii="Georgia" w:eastAsia="Georgia" w:hAnsi="Georgia" w:cs="Georgia"/>
                <w:color w:val="000000" w:themeColor="text1"/>
                <w:sz w:val="24"/>
                <w:szCs w:val="24"/>
              </w:rPr>
            </w:pPr>
            <w:r w:rsidRPr="57431AF1">
              <w:rPr>
                <w:rFonts w:ascii="Georgia" w:eastAsia="Georgia" w:hAnsi="Georgia" w:cs="Georgia"/>
                <w:color w:val="000000" w:themeColor="text1"/>
                <w:sz w:val="24"/>
                <w:szCs w:val="24"/>
              </w:rPr>
              <w:t>0.0259036</w:t>
            </w:r>
          </w:p>
        </w:tc>
      </w:tr>
      <w:tr w:rsidR="47AEEBD8" w14:paraId="2923D167" w14:textId="77777777" w:rsidTr="002C1041">
        <w:trPr>
          <w:trHeight w:val="300"/>
          <w:jc w:val="center"/>
        </w:trPr>
        <w:tc>
          <w:tcPr>
            <w:tcW w:w="2745" w:type="dxa"/>
            <w:vAlign w:val="bottom"/>
          </w:tcPr>
          <w:p w14:paraId="2D4418C5" w14:textId="5E9937E7" w:rsidR="34C33714" w:rsidRPr="34C33714" w:rsidRDefault="57431AF1" w:rsidP="00AD1EBF">
            <w:pPr>
              <w:spacing w:line="276" w:lineRule="auto"/>
              <w:jc w:val="center"/>
              <w:rPr>
                <w:rFonts w:ascii="Georgia" w:eastAsia="Georgia" w:hAnsi="Georgia" w:cs="Georgia"/>
                <w:color w:val="000000" w:themeColor="text1"/>
                <w:sz w:val="24"/>
                <w:szCs w:val="24"/>
              </w:rPr>
            </w:pPr>
            <w:proofErr w:type="gramStart"/>
            <w:r w:rsidRPr="57431AF1">
              <w:rPr>
                <w:rFonts w:ascii="Georgia" w:eastAsia="Georgia" w:hAnsi="Georgia" w:cs="Georgia"/>
                <w:color w:val="000000" w:themeColor="text1"/>
                <w:sz w:val="24"/>
                <w:szCs w:val="24"/>
              </w:rPr>
              <w:t>D(</w:t>
            </w:r>
            <w:proofErr w:type="gramEnd"/>
            <w:r w:rsidRPr="57431AF1">
              <w:rPr>
                <w:rFonts w:ascii="Georgia" w:eastAsia="Georgia" w:hAnsi="Georgia" w:cs="Georgia"/>
                <w:color w:val="000000" w:themeColor="text1"/>
                <w:sz w:val="24"/>
                <w:szCs w:val="24"/>
              </w:rPr>
              <w:t>HDFC &amp; ONGC)</w:t>
            </w:r>
          </w:p>
        </w:tc>
        <w:tc>
          <w:tcPr>
            <w:tcW w:w="2100" w:type="dxa"/>
            <w:vAlign w:val="bottom"/>
          </w:tcPr>
          <w:p w14:paraId="586465AB" w14:textId="13A3A2AC" w:rsidR="47AEEBD8" w:rsidRDefault="57431AF1" w:rsidP="00AD1EBF">
            <w:pPr>
              <w:spacing w:line="276" w:lineRule="auto"/>
              <w:jc w:val="center"/>
              <w:rPr>
                <w:rFonts w:ascii="Georgia" w:eastAsia="Georgia" w:hAnsi="Georgia" w:cs="Georgia"/>
                <w:color w:val="000000" w:themeColor="text1"/>
                <w:sz w:val="24"/>
                <w:szCs w:val="24"/>
              </w:rPr>
            </w:pPr>
            <w:r w:rsidRPr="57431AF1">
              <w:rPr>
                <w:rFonts w:ascii="Georgia" w:eastAsia="Georgia" w:hAnsi="Georgia" w:cs="Georgia"/>
                <w:color w:val="000000" w:themeColor="text1"/>
                <w:sz w:val="24"/>
                <w:szCs w:val="24"/>
              </w:rPr>
              <w:t>0.000944811</w:t>
            </w:r>
          </w:p>
        </w:tc>
        <w:tc>
          <w:tcPr>
            <w:tcW w:w="3465" w:type="dxa"/>
            <w:vAlign w:val="bottom"/>
          </w:tcPr>
          <w:p w14:paraId="6A235475" w14:textId="7CF643E1" w:rsidR="47AEEBD8" w:rsidRDefault="57431AF1" w:rsidP="00AD1EBF">
            <w:pPr>
              <w:spacing w:line="276" w:lineRule="auto"/>
              <w:jc w:val="center"/>
              <w:rPr>
                <w:rFonts w:ascii="Georgia" w:eastAsia="Georgia" w:hAnsi="Georgia" w:cs="Georgia"/>
                <w:color w:val="000000" w:themeColor="text1"/>
                <w:sz w:val="24"/>
                <w:szCs w:val="24"/>
              </w:rPr>
            </w:pPr>
            <w:r w:rsidRPr="57431AF1">
              <w:rPr>
                <w:rFonts w:ascii="Georgia" w:eastAsia="Georgia" w:hAnsi="Georgia" w:cs="Georgia"/>
                <w:color w:val="000000" w:themeColor="text1"/>
                <w:sz w:val="24"/>
                <w:szCs w:val="24"/>
              </w:rPr>
              <w:t>0.0146628</w:t>
            </w:r>
          </w:p>
        </w:tc>
      </w:tr>
      <w:tr w:rsidR="47AEEBD8" w14:paraId="4AD75D3B" w14:textId="77777777" w:rsidTr="002C1041">
        <w:trPr>
          <w:trHeight w:val="300"/>
          <w:jc w:val="center"/>
        </w:trPr>
        <w:tc>
          <w:tcPr>
            <w:tcW w:w="2745" w:type="dxa"/>
            <w:vAlign w:val="bottom"/>
          </w:tcPr>
          <w:p w14:paraId="0E07B749" w14:textId="6C5F0136" w:rsidR="34C33714" w:rsidRPr="34C33714" w:rsidRDefault="57431AF1" w:rsidP="00AD1EBF">
            <w:pPr>
              <w:spacing w:line="276" w:lineRule="auto"/>
              <w:jc w:val="center"/>
              <w:rPr>
                <w:rFonts w:ascii="Georgia" w:eastAsia="Georgia" w:hAnsi="Georgia" w:cs="Georgia"/>
                <w:color w:val="000000" w:themeColor="text1"/>
                <w:sz w:val="24"/>
                <w:szCs w:val="24"/>
              </w:rPr>
            </w:pPr>
            <w:r w:rsidRPr="57431AF1">
              <w:rPr>
                <w:rFonts w:ascii="Georgia" w:eastAsia="Georgia" w:hAnsi="Georgia" w:cs="Georgia"/>
                <w:color w:val="000000" w:themeColor="text1"/>
                <w:sz w:val="24"/>
                <w:szCs w:val="24"/>
              </w:rPr>
              <w:t>E (ONGC &amp; SPICEJET)</w:t>
            </w:r>
          </w:p>
        </w:tc>
        <w:tc>
          <w:tcPr>
            <w:tcW w:w="2100" w:type="dxa"/>
            <w:vAlign w:val="bottom"/>
          </w:tcPr>
          <w:p w14:paraId="2B950B82" w14:textId="36E757BD" w:rsidR="47AEEBD8" w:rsidRDefault="57431AF1" w:rsidP="00AD1EBF">
            <w:pPr>
              <w:spacing w:line="276" w:lineRule="auto"/>
              <w:jc w:val="center"/>
              <w:rPr>
                <w:rFonts w:ascii="Georgia" w:eastAsia="Georgia" w:hAnsi="Georgia" w:cs="Georgia"/>
                <w:color w:val="000000" w:themeColor="text1"/>
                <w:sz w:val="24"/>
                <w:szCs w:val="24"/>
              </w:rPr>
            </w:pPr>
            <w:r w:rsidRPr="57431AF1">
              <w:rPr>
                <w:rFonts w:ascii="Georgia" w:eastAsia="Georgia" w:hAnsi="Georgia" w:cs="Georgia"/>
                <w:color w:val="000000" w:themeColor="text1"/>
                <w:sz w:val="24"/>
                <w:szCs w:val="24"/>
              </w:rPr>
              <w:t>-0.000112634</w:t>
            </w:r>
          </w:p>
        </w:tc>
        <w:tc>
          <w:tcPr>
            <w:tcW w:w="3465" w:type="dxa"/>
            <w:vAlign w:val="bottom"/>
          </w:tcPr>
          <w:p w14:paraId="522F7F88" w14:textId="12852561" w:rsidR="47AEEBD8" w:rsidRDefault="57431AF1" w:rsidP="00AD1EBF">
            <w:pPr>
              <w:spacing w:line="276" w:lineRule="auto"/>
              <w:jc w:val="center"/>
              <w:rPr>
                <w:rFonts w:ascii="Georgia" w:eastAsia="Georgia" w:hAnsi="Georgia" w:cs="Georgia"/>
                <w:color w:val="000000" w:themeColor="text1"/>
                <w:sz w:val="24"/>
                <w:szCs w:val="24"/>
              </w:rPr>
            </w:pPr>
            <w:r w:rsidRPr="57431AF1">
              <w:rPr>
                <w:rFonts w:ascii="Georgia" w:eastAsia="Georgia" w:hAnsi="Georgia" w:cs="Georgia"/>
                <w:color w:val="000000" w:themeColor="text1"/>
                <w:sz w:val="24"/>
                <w:szCs w:val="24"/>
              </w:rPr>
              <w:t>0.088312</w:t>
            </w:r>
          </w:p>
        </w:tc>
      </w:tr>
      <w:tr w:rsidR="47AEEBD8" w14:paraId="5EEBE77A" w14:textId="77777777" w:rsidTr="002C1041">
        <w:trPr>
          <w:trHeight w:val="300"/>
          <w:jc w:val="center"/>
        </w:trPr>
        <w:tc>
          <w:tcPr>
            <w:tcW w:w="2745" w:type="dxa"/>
            <w:vAlign w:val="bottom"/>
          </w:tcPr>
          <w:p w14:paraId="7BA3C724" w14:textId="387E2E15" w:rsidR="34C33714" w:rsidRPr="34C33714" w:rsidRDefault="57431AF1" w:rsidP="00AD1EBF">
            <w:pPr>
              <w:spacing w:line="276" w:lineRule="auto"/>
              <w:jc w:val="center"/>
              <w:rPr>
                <w:rFonts w:ascii="Georgia" w:eastAsia="Georgia" w:hAnsi="Georgia" w:cs="Georgia"/>
                <w:color w:val="000000" w:themeColor="text1"/>
                <w:sz w:val="24"/>
                <w:szCs w:val="24"/>
              </w:rPr>
            </w:pPr>
            <w:r w:rsidRPr="57431AF1">
              <w:rPr>
                <w:rFonts w:ascii="Georgia" w:eastAsia="Georgia" w:hAnsi="Georgia" w:cs="Georgia"/>
                <w:color w:val="000000" w:themeColor="text1"/>
                <w:sz w:val="24"/>
                <w:szCs w:val="24"/>
              </w:rPr>
              <w:t>F (SPICEJET &amp; HDFC)</w:t>
            </w:r>
          </w:p>
        </w:tc>
        <w:tc>
          <w:tcPr>
            <w:tcW w:w="2100" w:type="dxa"/>
            <w:vAlign w:val="bottom"/>
          </w:tcPr>
          <w:p w14:paraId="4A0662D5" w14:textId="2F0D5CC4" w:rsidR="47AEEBD8" w:rsidRDefault="57431AF1" w:rsidP="00AD1EBF">
            <w:pPr>
              <w:spacing w:line="276" w:lineRule="auto"/>
              <w:jc w:val="center"/>
              <w:rPr>
                <w:rFonts w:ascii="Georgia" w:eastAsia="Georgia" w:hAnsi="Georgia" w:cs="Georgia"/>
                <w:color w:val="000000" w:themeColor="text1"/>
                <w:sz w:val="24"/>
                <w:szCs w:val="24"/>
              </w:rPr>
            </w:pPr>
            <w:r w:rsidRPr="57431AF1">
              <w:rPr>
                <w:rFonts w:ascii="Georgia" w:eastAsia="Georgia" w:hAnsi="Georgia" w:cs="Georgia"/>
                <w:color w:val="000000" w:themeColor="text1"/>
                <w:sz w:val="24"/>
                <w:szCs w:val="24"/>
              </w:rPr>
              <w:t>-0.000665217</w:t>
            </w:r>
          </w:p>
        </w:tc>
        <w:tc>
          <w:tcPr>
            <w:tcW w:w="3465" w:type="dxa"/>
            <w:vAlign w:val="bottom"/>
          </w:tcPr>
          <w:p w14:paraId="08017BCA" w14:textId="22EF38EC" w:rsidR="47AEEBD8" w:rsidRDefault="57431AF1" w:rsidP="00AD1EBF">
            <w:pPr>
              <w:spacing w:line="276" w:lineRule="auto"/>
              <w:jc w:val="center"/>
              <w:rPr>
                <w:rFonts w:ascii="Georgia" w:eastAsia="Georgia" w:hAnsi="Georgia" w:cs="Georgia"/>
                <w:color w:val="000000" w:themeColor="text1"/>
                <w:sz w:val="24"/>
                <w:szCs w:val="24"/>
              </w:rPr>
            </w:pPr>
            <w:r w:rsidRPr="57431AF1">
              <w:rPr>
                <w:rFonts w:ascii="Georgia" w:eastAsia="Georgia" w:hAnsi="Georgia" w:cs="Georgia"/>
                <w:color w:val="000000" w:themeColor="text1"/>
                <w:sz w:val="24"/>
                <w:szCs w:val="24"/>
              </w:rPr>
              <w:t>0.015975</w:t>
            </w:r>
          </w:p>
        </w:tc>
      </w:tr>
    </w:tbl>
    <w:p w14:paraId="6FC72743" w14:textId="2A8780F0" w:rsidR="57431AF1" w:rsidRDefault="57431AF1" w:rsidP="57431AF1">
      <w:pPr>
        <w:rPr>
          <w:rFonts w:ascii="Georgia" w:eastAsia="Georgia" w:hAnsi="Georgia" w:cs="Georgia"/>
          <w:sz w:val="24"/>
          <w:szCs w:val="24"/>
        </w:rPr>
      </w:pPr>
      <w:r w:rsidRPr="57431AF1">
        <w:rPr>
          <w:rFonts w:ascii="Georgia" w:eastAsia="Georgia" w:hAnsi="Georgia" w:cs="Georgia"/>
          <w:noProof/>
          <w:sz w:val="24"/>
          <w:szCs w:val="24"/>
        </w:rPr>
        <w:t xml:space="preserve">                                       </w:t>
      </w:r>
    </w:p>
    <w:p w14:paraId="79704BCB" w14:textId="26403517" w:rsidR="57431AF1" w:rsidRDefault="57431AF1" w:rsidP="57431AF1">
      <w:pPr>
        <w:rPr>
          <w:rFonts w:ascii="Georgia" w:eastAsia="Georgia" w:hAnsi="Georgia" w:cs="Georgia"/>
          <w:sz w:val="24"/>
          <w:szCs w:val="24"/>
        </w:rPr>
      </w:pPr>
      <w:r w:rsidRPr="57431AF1">
        <w:rPr>
          <w:rFonts w:ascii="Georgia" w:eastAsia="Georgia" w:hAnsi="Georgia" w:cs="Georgia"/>
          <w:sz w:val="24"/>
          <w:szCs w:val="24"/>
        </w:rPr>
        <w:t xml:space="preserve">We know </w:t>
      </w:r>
      <w:proofErr w:type="gramStart"/>
      <w:r w:rsidRPr="57431AF1">
        <w:rPr>
          <w:rFonts w:ascii="Georgia" w:eastAsia="Georgia" w:hAnsi="Georgia" w:cs="Georgia"/>
          <w:sz w:val="24"/>
          <w:szCs w:val="24"/>
        </w:rPr>
        <w:t>that,</w:t>
      </w:r>
      <w:proofErr w:type="gramEnd"/>
      <w:r w:rsidRPr="57431AF1">
        <w:rPr>
          <w:rFonts w:ascii="Georgia" w:eastAsia="Georgia" w:hAnsi="Georgia" w:cs="Georgia"/>
          <w:sz w:val="24"/>
          <w:szCs w:val="24"/>
        </w:rPr>
        <w:t xml:space="preserve"> higher returns are good but we also have to consider other factors like standard deviation. Taking into consideration the returns of the risk-free assets along with the standard deviation, we see that the higher the standard deviation, the more risk it bears. </w:t>
      </w:r>
    </w:p>
    <w:p w14:paraId="26DECF8A" w14:textId="71527D28" w:rsidR="3AC3B5ED" w:rsidRDefault="57431AF1" w:rsidP="57431AF1">
      <w:pPr>
        <w:rPr>
          <w:rFonts w:ascii="Georgia" w:eastAsia="Georgia" w:hAnsi="Georgia" w:cs="Georgia"/>
          <w:sz w:val="24"/>
          <w:szCs w:val="24"/>
        </w:rPr>
      </w:pPr>
      <w:r w:rsidRPr="57431AF1">
        <w:rPr>
          <w:rFonts w:ascii="Georgia" w:eastAsia="Georgia" w:hAnsi="Georgia" w:cs="Georgia"/>
          <w:sz w:val="24"/>
          <w:szCs w:val="24"/>
        </w:rPr>
        <w:t>Thus, the investment in which we have high returns and less standard deviation is suitable.</w:t>
      </w:r>
    </w:p>
    <w:p w14:paraId="1987A57D" w14:textId="5363BFB4" w:rsidR="7B32DDBC" w:rsidRDefault="57431AF1" w:rsidP="57431AF1">
      <w:pPr>
        <w:rPr>
          <w:rFonts w:ascii="Georgia" w:eastAsia="Georgia" w:hAnsi="Georgia" w:cs="Georgia"/>
          <w:sz w:val="24"/>
          <w:szCs w:val="24"/>
        </w:rPr>
      </w:pPr>
      <w:r w:rsidRPr="57431AF1">
        <w:rPr>
          <w:rFonts w:ascii="Georgia" w:eastAsia="Georgia" w:hAnsi="Georgia" w:cs="Georgia"/>
          <w:sz w:val="24"/>
          <w:szCs w:val="24"/>
        </w:rPr>
        <w:t>To understand this further, Sharpe Ratio is calculated which is the measure of risk-adjusted return of a financial portfolio.</w:t>
      </w:r>
    </w:p>
    <w:p w14:paraId="1BEAED03" w14:textId="12F763F8" w:rsidR="00AD1EBF" w:rsidRDefault="57431AF1" w:rsidP="57431AF1">
      <w:pPr>
        <w:rPr>
          <w:rFonts w:ascii="Georgia" w:eastAsia="Georgia" w:hAnsi="Georgia" w:cs="Georgia"/>
          <w:sz w:val="24"/>
          <w:szCs w:val="24"/>
        </w:rPr>
      </w:pPr>
      <w:r w:rsidRPr="57431AF1">
        <w:rPr>
          <w:rFonts w:ascii="Georgia" w:eastAsia="Georgia" w:hAnsi="Georgia" w:cs="Georgia"/>
          <w:sz w:val="24"/>
          <w:szCs w:val="24"/>
        </w:rPr>
        <w:t>The risk-free rate was assumed to be 5% and the Sharpe ratio of the shares were calculated.</w:t>
      </w:r>
    </w:p>
    <w:p w14:paraId="37C2E91A" w14:textId="77777777" w:rsidR="00AD1EBF" w:rsidRDefault="00AD1EBF" w:rsidP="57431AF1">
      <w:pPr>
        <w:rPr>
          <w:rFonts w:ascii="Georgia" w:eastAsia="Georgia" w:hAnsi="Georgia" w:cs="Georgia"/>
          <w:sz w:val="24"/>
          <w:szCs w:val="24"/>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4508"/>
        <w:gridCol w:w="4508"/>
      </w:tblGrid>
      <w:tr w:rsidR="124562AF" w14:paraId="5F2ED7A0" w14:textId="77777777" w:rsidTr="002C1041">
        <w:tc>
          <w:tcPr>
            <w:tcW w:w="4508" w:type="dxa"/>
          </w:tcPr>
          <w:p w14:paraId="07B94457" w14:textId="5AA9DA9D" w:rsidR="62FADD90" w:rsidRDefault="57431AF1" w:rsidP="002C1041">
            <w:pPr>
              <w:spacing w:line="276" w:lineRule="auto"/>
              <w:jc w:val="center"/>
              <w:rPr>
                <w:rFonts w:ascii="Georgia" w:eastAsia="Georgia" w:hAnsi="Georgia" w:cs="Georgia"/>
                <w:b/>
                <w:bCs/>
                <w:color w:val="000000" w:themeColor="text1"/>
                <w:sz w:val="24"/>
                <w:szCs w:val="24"/>
              </w:rPr>
            </w:pPr>
            <w:r w:rsidRPr="57431AF1">
              <w:rPr>
                <w:rFonts w:ascii="Georgia" w:eastAsia="Georgia" w:hAnsi="Georgia" w:cs="Georgia"/>
                <w:b/>
                <w:bCs/>
                <w:color w:val="000000" w:themeColor="text1"/>
                <w:sz w:val="24"/>
                <w:szCs w:val="24"/>
              </w:rPr>
              <w:t>INVESTORS</w:t>
            </w:r>
          </w:p>
        </w:tc>
        <w:tc>
          <w:tcPr>
            <w:tcW w:w="4508" w:type="dxa"/>
          </w:tcPr>
          <w:p w14:paraId="20903927" w14:textId="33F5FEA0" w:rsidR="124562AF" w:rsidRDefault="57431AF1" w:rsidP="57431AF1">
            <w:pPr>
              <w:jc w:val="center"/>
              <w:rPr>
                <w:rFonts w:ascii="Georgia" w:eastAsia="Georgia" w:hAnsi="Georgia" w:cs="Georgia"/>
                <w:b/>
                <w:bCs/>
                <w:sz w:val="24"/>
                <w:szCs w:val="24"/>
              </w:rPr>
            </w:pPr>
            <w:r w:rsidRPr="57431AF1">
              <w:rPr>
                <w:rFonts w:ascii="Georgia" w:eastAsia="Georgia" w:hAnsi="Georgia" w:cs="Georgia"/>
                <w:b/>
                <w:bCs/>
                <w:sz w:val="24"/>
                <w:szCs w:val="24"/>
              </w:rPr>
              <w:t>SHARPE RATIO</w:t>
            </w:r>
          </w:p>
        </w:tc>
      </w:tr>
      <w:tr w:rsidR="3145A344" w14:paraId="1670504B" w14:textId="77777777" w:rsidTr="002C1041">
        <w:tc>
          <w:tcPr>
            <w:tcW w:w="4508" w:type="dxa"/>
          </w:tcPr>
          <w:p w14:paraId="41BE09F8" w14:textId="27D9714D" w:rsidR="62FADD90" w:rsidRDefault="57431AF1" w:rsidP="00AD1EBF">
            <w:pPr>
              <w:spacing w:line="276" w:lineRule="auto"/>
              <w:jc w:val="center"/>
              <w:rPr>
                <w:rFonts w:ascii="Georgia" w:eastAsia="Georgia" w:hAnsi="Georgia" w:cs="Georgia"/>
                <w:color w:val="000000" w:themeColor="text1"/>
                <w:sz w:val="24"/>
                <w:szCs w:val="24"/>
              </w:rPr>
            </w:pPr>
            <w:r w:rsidRPr="57431AF1">
              <w:rPr>
                <w:rFonts w:ascii="Georgia" w:eastAsia="Georgia" w:hAnsi="Georgia" w:cs="Georgia"/>
                <w:color w:val="000000" w:themeColor="text1"/>
                <w:sz w:val="24"/>
                <w:szCs w:val="24"/>
              </w:rPr>
              <w:t>A (HDFC)</w:t>
            </w:r>
          </w:p>
        </w:tc>
        <w:tc>
          <w:tcPr>
            <w:tcW w:w="4508" w:type="dxa"/>
          </w:tcPr>
          <w:p w14:paraId="7F7EFACF" w14:textId="0D8D0B57" w:rsidR="3145A344" w:rsidRDefault="57431AF1" w:rsidP="00AD1EBF">
            <w:pPr>
              <w:spacing w:line="276" w:lineRule="auto"/>
              <w:jc w:val="center"/>
              <w:rPr>
                <w:rFonts w:ascii="Georgia" w:eastAsia="Georgia" w:hAnsi="Georgia" w:cs="Georgia"/>
                <w:sz w:val="24"/>
                <w:szCs w:val="24"/>
              </w:rPr>
            </w:pPr>
            <w:r w:rsidRPr="57431AF1">
              <w:rPr>
                <w:rFonts w:ascii="Georgia" w:eastAsia="Georgia" w:hAnsi="Georgia" w:cs="Georgia"/>
                <w:sz w:val="24"/>
                <w:szCs w:val="24"/>
              </w:rPr>
              <w:t>-3.545609944</w:t>
            </w:r>
          </w:p>
        </w:tc>
      </w:tr>
      <w:tr w:rsidR="3145A344" w14:paraId="2191A6AB" w14:textId="77777777" w:rsidTr="002C1041">
        <w:tc>
          <w:tcPr>
            <w:tcW w:w="4508" w:type="dxa"/>
          </w:tcPr>
          <w:p w14:paraId="21326EAF" w14:textId="2F7661D3" w:rsidR="62FADD90" w:rsidRDefault="57431AF1" w:rsidP="00AD1EBF">
            <w:pPr>
              <w:spacing w:line="276" w:lineRule="auto"/>
              <w:jc w:val="center"/>
              <w:rPr>
                <w:rFonts w:ascii="Georgia" w:eastAsia="Georgia" w:hAnsi="Georgia" w:cs="Georgia"/>
                <w:color w:val="000000" w:themeColor="text1"/>
                <w:sz w:val="24"/>
                <w:szCs w:val="24"/>
              </w:rPr>
            </w:pPr>
            <w:r w:rsidRPr="57431AF1">
              <w:rPr>
                <w:rFonts w:ascii="Georgia" w:eastAsia="Georgia" w:hAnsi="Georgia" w:cs="Georgia"/>
                <w:color w:val="000000" w:themeColor="text1"/>
                <w:sz w:val="24"/>
                <w:szCs w:val="24"/>
              </w:rPr>
              <w:t>B (ONGC)</w:t>
            </w:r>
          </w:p>
        </w:tc>
        <w:tc>
          <w:tcPr>
            <w:tcW w:w="4508" w:type="dxa"/>
          </w:tcPr>
          <w:p w14:paraId="05BD3C03" w14:textId="037E05D5" w:rsidR="3145A344" w:rsidRDefault="57431AF1" w:rsidP="00AD1EBF">
            <w:pPr>
              <w:spacing w:line="276" w:lineRule="auto"/>
              <w:jc w:val="center"/>
              <w:rPr>
                <w:rFonts w:ascii="Georgia" w:eastAsia="Georgia" w:hAnsi="Georgia" w:cs="Georgia"/>
                <w:sz w:val="24"/>
                <w:szCs w:val="24"/>
              </w:rPr>
            </w:pPr>
            <w:r w:rsidRPr="57431AF1">
              <w:rPr>
                <w:rFonts w:ascii="Georgia" w:eastAsia="Georgia" w:hAnsi="Georgia" w:cs="Georgia"/>
                <w:sz w:val="24"/>
                <w:szCs w:val="24"/>
              </w:rPr>
              <w:t>-2.115608366</w:t>
            </w:r>
          </w:p>
        </w:tc>
      </w:tr>
      <w:tr w:rsidR="3145A344" w14:paraId="6D4579E2" w14:textId="77777777" w:rsidTr="002C1041">
        <w:tc>
          <w:tcPr>
            <w:tcW w:w="4508" w:type="dxa"/>
          </w:tcPr>
          <w:p w14:paraId="1644EEF6" w14:textId="63236431" w:rsidR="62FADD90" w:rsidRDefault="57431AF1" w:rsidP="00AD1EBF">
            <w:pPr>
              <w:spacing w:line="276" w:lineRule="auto"/>
              <w:jc w:val="center"/>
              <w:rPr>
                <w:rFonts w:ascii="Georgia" w:eastAsia="Georgia" w:hAnsi="Georgia" w:cs="Georgia"/>
                <w:color w:val="000000" w:themeColor="text1"/>
                <w:sz w:val="24"/>
                <w:szCs w:val="24"/>
              </w:rPr>
            </w:pPr>
            <w:r w:rsidRPr="57431AF1">
              <w:rPr>
                <w:rFonts w:ascii="Georgia" w:eastAsia="Georgia" w:hAnsi="Georgia" w:cs="Georgia"/>
                <w:color w:val="000000" w:themeColor="text1"/>
                <w:sz w:val="24"/>
                <w:szCs w:val="24"/>
              </w:rPr>
              <w:t>C (SPICEJET)</w:t>
            </w:r>
          </w:p>
        </w:tc>
        <w:tc>
          <w:tcPr>
            <w:tcW w:w="4508" w:type="dxa"/>
          </w:tcPr>
          <w:p w14:paraId="2DB42EB7" w14:textId="7DFA6E19" w:rsidR="3145A344" w:rsidRDefault="57431AF1" w:rsidP="00AD1EBF">
            <w:pPr>
              <w:spacing w:line="276" w:lineRule="auto"/>
              <w:jc w:val="center"/>
              <w:rPr>
                <w:rFonts w:ascii="Georgia" w:eastAsia="Georgia" w:hAnsi="Georgia" w:cs="Georgia"/>
                <w:sz w:val="24"/>
                <w:szCs w:val="24"/>
              </w:rPr>
            </w:pPr>
            <w:r w:rsidRPr="57431AF1">
              <w:rPr>
                <w:rFonts w:ascii="Georgia" w:eastAsia="Georgia" w:hAnsi="Georgia" w:cs="Georgia"/>
                <w:sz w:val="24"/>
                <w:szCs w:val="24"/>
              </w:rPr>
              <w:t>-1.996517026</w:t>
            </w:r>
          </w:p>
        </w:tc>
      </w:tr>
      <w:tr w:rsidR="5CAA5314" w14:paraId="537054F5" w14:textId="77777777" w:rsidTr="002C1041">
        <w:tc>
          <w:tcPr>
            <w:tcW w:w="4508" w:type="dxa"/>
          </w:tcPr>
          <w:p w14:paraId="58898709" w14:textId="560F9B58" w:rsidR="5CAA5314" w:rsidRDefault="57431AF1" w:rsidP="00AD1EBF">
            <w:pPr>
              <w:spacing w:line="276" w:lineRule="auto"/>
              <w:jc w:val="center"/>
              <w:rPr>
                <w:rFonts w:ascii="Georgia" w:eastAsia="Georgia" w:hAnsi="Georgia" w:cs="Georgia"/>
                <w:color w:val="000000" w:themeColor="text1"/>
                <w:sz w:val="24"/>
                <w:szCs w:val="24"/>
              </w:rPr>
            </w:pPr>
            <w:proofErr w:type="gramStart"/>
            <w:r w:rsidRPr="57431AF1">
              <w:rPr>
                <w:rFonts w:ascii="Georgia" w:eastAsia="Georgia" w:hAnsi="Georgia" w:cs="Georgia"/>
                <w:color w:val="000000" w:themeColor="text1"/>
                <w:sz w:val="24"/>
                <w:szCs w:val="24"/>
              </w:rPr>
              <w:t>D(</w:t>
            </w:r>
            <w:proofErr w:type="gramEnd"/>
            <w:r w:rsidRPr="57431AF1">
              <w:rPr>
                <w:rFonts w:ascii="Georgia" w:eastAsia="Georgia" w:hAnsi="Georgia" w:cs="Georgia"/>
                <w:color w:val="000000" w:themeColor="text1"/>
                <w:sz w:val="24"/>
                <w:szCs w:val="24"/>
              </w:rPr>
              <w:t>HDFC &amp; ONGC)</w:t>
            </w:r>
          </w:p>
        </w:tc>
        <w:tc>
          <w:tcPr>
            <w:tcW w:w="4508" w:type="dxa"/>
          </w:tcPr>
          <w:p w14:paraId="4DA3825F" w14:textId="15258E40" w:rsidR="5CAA5314" w:rsidRDefault="57431AF1" w:rsidP="00AD1EBF">
            <w:pPr>
              <w:spacing w:line="276" w:lineRule="auto"/>
              <w:jc w:val="center"/>
              <w:rPr>
                <w:rFonts w:ascii="Georgia" w:eastAsia="Georgia" w:hAnsi="Georgia" w:cs="Georgia"/>
                <w:sz w:val="24"/>
                <w:szCs w:val="24"/>
              </w:rPr>
            </w:pPr>
            <w:r w:rsidRPr="57431AF1">
              <w:rPr>
                <w:rFonts w:ascii="Georgia" w:eastAsia="Georgia" w:hAnsi="Georgia" w:cs="Georgia"/>
                <w:sz w:val="24"/>
                <w:szCs w:val="24"/>
              </w:rPr>
              <w:t>-3.345553987</w:t>
            </w:r>
          </w:p>
        </w:tc>
      </w:tr>
      <w:tr w:rsidR="5CAA5314" w14:paraId="06181C3D" w14:textId="77777777" w:rsidTr="002C1041">
        <w:tc>
          <w:tcPr>
            <w:tcW w:w="4508" w:type="dxa"/>
          </w:tcPr>
          <w:p w14:paraId="5CA8D6CA" w14:textId="773D56E4" w:rsidR="5CAA5314" w:rsidRDefault="57431AF1" w:rsidP="00AD1EBF">
            <w:pPr>
              <w:spacing w:line="276" w:lineRule="auto"/>
              <w:jc w:val="center"/>
              <w:rPr>
                <w:rFonts w:ascii="Georgia" w:eastAsia="Georgia" w:hAnsi="Georgia" w:cs="Georgia"/>
                <w:color w:val="000000" w:themeColor="text1"/>
                <w:sz w:val="24"/>
                <w:szCs w:val="24"/>
              </w:rPr>
            </w:pPr>
            <w:r w:rsidRPr="57431AF1">
              <w:rPr>
                <w:rFonts w:ascii="Georgia" w:eastAsia="Georgia" w:hAnsi="Georgia" w:cs="Georgia"/>
                <w:color w:val="000000" w:themeColor="text1"/>
                <w:sz w:val="24"/>
                <w:szCs w:val="24"/>
              </w:rPr>
              <w:t>E (ONGC &amp; SPICEJET)</w:t>
            </w:r>
          </w:p>
        </w:tc>
        <w:tc>
          <w:tcPr>
            <w:tcW w:w="4508" w:type="dxa"/>
          </w:tcPr>
          <w:p w14:paraId="37343A83" w14:textId="06F87E97" w:rsidR="5CAA5314" w:rsidRDefault="57431AF1" w:rsidP="00AD1EBF">
            <w:pPr>
              <w:spacing w:line="276" w:lineRule="auto"/>
              <w:jc w:val="center"/>
              <w:rPr>
                <w:rFonts w:ascii="Georgia" w:eastAsia="Georgia" w:hAnsi="Georgia" w:cs="Georgia"/>
                <w:sz w:val="24"/>
                <w:szCs w:val="24"/>
              </w:rPr>
            </w:pPr>
            <w:r w:rsidRPr="57431AF1">
              <w:rPr>
                <w:rFonts w:ascii="Georgia" w:eastAsia="Georgia" w:hAnsi="Georgia" w:cs="Georgia"/>
                <w:sz w:val="24"/>
                <w:szCs w:val="24"/>
              </w:rPr>
              <w:t>-0.567449882</w:t>
            </w:r>
          </w:p>
        </w:tc>
      </w:tr>
      <w:tr w:rsidR="5CAA5314" w14:paraId="4418A7D8" w14:textId="77777777" w:rsidTr="002C1041">
        <w:tc>
          <w:tcPr>
            <w:tcW w:w="4508" w:type="dxa"/>
          </w:tcPr>
          <w:p w14:paraId="496F1FFC" w14:textId="0A93A2D0" w:rsidR="5CAA5314" w:rsidRDefault="57431AF1" w:rsidP="00AD1EBF">
            <w:pPr>
              <w:spacing w:line="276" w:lineRule="auto"/>
              <w:jc w:val="center"/>
              <w:rPr>
                <w:rFonts w:ascii="Georgia" w:eastAsia="Georgia" w:hAnsi="Georgia" w:cs="Georgia"/>
                <w:color w:val="000000" w:themeColor="text1"/>
                <w:sz w:val="24"/>
                <w:szCs w:val="24"/>
              </w:rPr>
            </w:pPr>
            <w:r w:rsidRPr="57431AF1">
              <w:rPr>
                <w:rFonts w:ascii="Georgia" w:eastAsia="Georgia" w:hAnsi="Georgia" w:cs="Georgia"/>
                <w:color w:val="000000" w:themeColor="text1"/>
                <w:sz w:val="24"/>
                <w:szCs w:val="24"/>
              </w:rPr>
              <w:t>F (SPICEJET &amp; HDFC)</w:t>
            </w:r>
          </w:p>
        </w:tc>
        <w:tc>
          <w:tcPr>
            <w:tcW w:w="4508" w:type="dxa"/>
          </w:tcPr>
          <w:p w14:paraId="3018BDE0" w14:textId="1F518299" w:rsidR="5CAA5314" w:rsidRDefault="57431AF1" w:rsidP="00AD1EBF">
            <w:pPr>
              <w:spacing w:line="276" w:lineRule="auto"/>
              <w:jc w:val="center"/>
              <w:rPr>
                <w:rFonts w:ascii="Georgia" w:eastAsia="Georgia" w:hAnsi="Georgia" w:cs="Georgia"/>
                <w:sz w:val="24"/>
                <w:szCs w:val="24"/>
              </w:rPr>
            </w:pPr>
            <w:r w:rsidRPr="57431AF1">
              <w:rPr>
                <w:rFonts w:ascii="Georgia" w:eastAsia="Georgia" w:hAnsi="Georgia" w:cs="Georgia"/>
                <w:sz w:val="24"/>
                <w:szCs w:val="24"/>
              </w:rPr>
              <w:t>-3.171531581</w:t>
            </w:r>
          </w:p>
        </w:tc>
      </w:tr>
    </w:tbl>
    <w:p w14:paraId="0AE23746" w14:textId="0F2408A4" w:rsidR="0A3BE461" w:rsidRDefault="0A3BE461" w:rsidP="57431AF1">
      <w:pPr>
        <w:rPr>
          <w:rFonts w:ascii="Georgia" w:eastAsia="Georgia" w:hAnsi="Georgia" w:cs="Georgia"/>
          <w:sz w:val="24"/>
          <w:szCs w:val="24"/>
        </w:rPr>
      </w:pPr>
    </w:p>
    <w:p w14:paraId="71B61322" w14:textId="59B5C43A" w:rsidR="566A6CF2" w:rsidRDefault="57431AF1" w:rsidP="57431AF1">
      <w:pPr>
        <w:rPr>
          <w:rFonts w:ascii="Georgia" w:eastAsia="Georgia" w:hAnsi="Georgia" w:cs="Georgia"/>
          <w:sz w:val="24"/>
          <w:szCs w:val="24"/>
        </w:rPr>
      </w:pPr>
      <w:r w:rsidRPr="57431AF1">
        <w:rPr>
          <w:rFonts w:ascii="Georgia" w:eastAsia="Georgia" w:hAnsi="Georgia" w:cs="Georgia"/>
          <w:sz w:val="24"/>
          <w:szCs w:val="24"/>
        </w:rPr>
        <w:t>Usually, a Sharpe ratio greater than 1.0 is considered acceptable by investors. It is better to have a ratio of 2.0 or more and that which is greater than 3.0 is considered excellent. It can be negative only when the excess return is negative, that is the expected return is less than the risk-free rate, as the denominator that is standard deviation is always positive.</w:t>
      </w:r>
    </w:p>
    <w:p w14:paraId="742D86B7" w14:textId="5F2DC3C7" w:rsidR="032B85DB" w:rsidRDefault="57431AF1" w:rsidP="57431AF1">
      <w:pPr>
        <w:rPr>
          <w:rFonts w:ascii="Georgia" w:eastAsia="Georgia" w:hAnsi="Georgia" w:cs="Georgia"/>
          <w:sz w:val="24"/>
          <w:szCs w:val="24"/>
        </w:rPr>
      </w:pPr>
      <w:r w:rsidRPr="57431AF1">
        <w:rPr>
          <w:rFonts w:ascii="Georgia" w:eastAsia="Georgia" w:hAnsi="Georgia" w:cs="Georgia"/>
          <w:sz w:val="24"/>
          <w:szCs w:val="24"/>
        </w:rPr>
        <w:lastRenderedPageBreak/>
        <w:t>From the table, we can infer that all the ratios are negative and less than the acceptable Sharpe ratio. On the contrary, while comparing all the stocks, the investor investing in the two-asset portfolio of</w:t>
      </w:r>
      <w:r w:rsidRPr="57431AF1">
        <w:rPr>
          <w:rFonts w:ascii="Georgia" w:eastAsia="Georgia" w:hAnsi="Georgia" w:cs="Georgia"/>
          <w:b/>
          <w:bCs/>
          <w:sz w:val="24"/>
          <w:szCs w:val="24"/>
        </w:rPr>
        <w:t xml:space="preserve"> ONGC Limited and SpiceJet Limited</w:t>
      </w:r>
      <w:r w:rsidRPr="57431AF1">
        <w:rPr>
          <w:rFonts w:ascii="Georgia" w:eastAsia="Georgia" w:hAnsi="Georgia" w:cs="Georgia"/>
          <w:sz w:val="24"/>
          <w:szCs w:val="24"/>
        </w:rPr>
        <w:t xml:space="preserve"> will get highest return per share comparatively.</w:t>
      </w:r>
    </w:p>
    <w:p w14:paraId="1261F692" w14:textId="477E9EC3" w:rsidR="37416758" w:rsidRDefault="57431AF1" w:rsidP="57431AF1">
      <w:pPr>
        <w:rPr>
          <w:rFonts w:ascii="Georgia" w:eastAsia="Georgia" w:hAnsi="Georgia" w:cs="Georgia"/>
          <w:sz w:val="24"/>
          <w:szCs w:val="24"/>
        </w:rPr>
      </w:pPr>
      <w:r w:rsidRPr="57431AF1">
        <w:rPr>
          <w:rFonts w:ascii="Georgia" w:eastAsia="Georgia" w:hAnsi="Georgia" w:cs="Georgia"/>
          <w:sz w:val="24"/>
          <w:szCs w:val="24"/>
        </w:rPr>
        <w:t>With the data available, we also inferred that the two asset portfolios were more diversified that is, the investment across various markets. The investors who invested in two-asset portfolios has an upper hand than the investors holding single asset portfolios because it minimizes the risk of loss to the overall portfolio and provides more opportunities for return. It also safeguards the investors against adverse market cycles and reduces volatility.</w:t>
      </w:r>
    </w:p>
    <w:p w14:paraId="21028062" w14:textId="058C5CF1" w:rsidR="37416758" w:rsidRDefault="57431AF1" w:rsidP="57431AF1">
      <w:pPr>
        <w:rPr>
          <w:rFonts w:ascii="Georgia" w:eastAsia="Georgia" w:hAnsi="Georgia" w:cs="Georgia"/>
          <w:color w:val="202124"/>
          <w:sz w:val="24"/>
          <w:szCs w:val="24"/>
        </w:rPr>
      </w:pPr>
      <w:r w:rsidRPr="57431AF1">
        <w:rPr>
          <w:rFonts w:ascii="Georgia" w:eastAsia="Georgia" w:hAnsi="Georgia" w:cs="Georgia"/>
          <w:sz w:val="24"/>
          <w:szCs w:val="24"/>
        </w:rPr>
        <w:t xml:space="preserve">As seen above the investor investing in the ONGC and SPICEJET Limited is enjoying the diversification benefits the most as compared to the other investors. This is because the expected return of these two companies </w:t>
      </w:r>
      <w:proofErr w:type="gramStart"/>
      <w:r w:rsidRPr="57431AF1">
        <w:rPr>
          <w:rFonts w:ascii="Georgia" w:eastAsia="Georgia" w:hAnsi="Georgia" w:cs="Georgia"/>
          <w:sz w:val="24"/>
          <w:szCs w:val="24"/>
        </w:rPr>
        <w:t>respond</w:t>
      </w:r>
      <w:proofErr w:type="gramEnd"/>
      <w:r w:rsidRPr="57431AF1">
        <w:rPr>
          <w:rFonts w:ascii="Georgia" w:eastAsia="Georgia" w:hAnsi="Georgia" w:cs="Georgia"/>
          <w:sz w:val="24"/>
          <w:szCs w:val="24"/>
        </w:rPr>
        <w:t xml:space="preserve"> differently and is not perfectly correlated and hence have </w:t>
      </w:r>
      <w:r w:rsidRPr="57431AF1">
        <w:rPr>
          <w:rFonts w:ascii="Georgia" w:eastAsia="Georgia" w:hAnsi="Georgia" w:cs="Georgia"/>
          <w:color w:val="202124"/>
          <w:sz w:val="24"/>
          <w:szCs w:val="24"/>
        </w:rPr>
        <w:t>the potential to balance out the losses thereby neutralizing each other’s risks.</w:t>
      </w:r>
    </w:p>
    <w:p w14:paraId="15E2079F" w14:textId="72AB3CA1" w:rsidR="37416758" w:rsidRDefault="37416758" w:rsidP="57431AF1">
      <w:pPr>
        <w:rPr>
          <w:rFonts w:ascii="Georgia" w:eastAsia="Georgia" w:hAnsi="Georgia" w:cs="Georgia"/>
          <w:sz w:val="24"/>
          <w:szCs w:val="24"/>
        </w:rPr>
      </w:pPr>
    </w:p>
    <w:p w14:paraId="38C6A5E1" w14:textId="0DF6201E" w:rsidR="37416758" w:rsidRDefault="37416758" w:rsidP="57431AF1">
      <w:pPr>
        <w:rPr>
          <w:rFonts w:ascii="Georgia" w:eastAsia="Georgia" w:hAnsi="Georgia" w:cs="Georgia"/>
          <w:color w:val="000000" w:themeColor="text1"/>
          <w:sz w:val="24"/>
          <w:szCs w:val="24"/>
        </w:rPr>
      </w:pPr>
    </w:p>
    <w:p w14:paraId="045FEBA6" w14:textId="37114A03" w:rsidR="37416758" w:rsidRDefault="57431AF1" w:rsidP="57431AF1">
      <w:pPr>
        <w:jc w:val="center"/>
        <w:rPr>
          <w:rFonts w:ascii="Georgia" w:eastAsia="Georgia" w:hAnsi="Georgia" w:cs="Georgia"/>
          <w:b/>
          <w:bCs/>
          <w:sz w:val="24"/>
          <w:szCs w:val="24"/>
          <w:u w:val="single"/>
        </w:rPr>
      </w:pPr>
      <w:r w:rsidRPr="57431AF1">
        <w:rPr>
          <w:rFonts w:ascii="Georgia" w:eastAsia="Georgia" w:hAnsi="Georgia" w:cs="Georgia"/>
          <w:b/>
          <w:bCs/>
          <w:sz w:val="24"/>
          <w:szCs w:val="24"/>
          <w:u w:val="single"/>
        </w:rPr>
        <w:t>TASK 6 (ii)</w:t>
      </w:r>
    </w:p>
    <w:p w14:paraId="7AB21B1F" w14:textId="16F6148F" w:rsidR="57431AF1" w:rsidRDefault="57431AF1" w:rsidP="57431AF1">
      <w:pPr>
        <w:jc w:val="center"/>
        <w:rPr>
          <w:rFonts w:ascii="Georgia" w:eastAsia="Georgia" w:hAnsi="Georgia" w:cs="Georgia"/>
          <w:b/>
          <w:bCs/>
          <w:sz w:val="24"/>
          <w:szCs w:val="24"/>
          <w:u w:val="single"/>
        </w:rPr>
      </w:pPr>
    </w:p>
    <w:p w14:paraId="72C8EBA1" w14:textId="48C9152B" w:rsidR="00F26521" w:rsidRPr="00684551" w:rsidRDefault="57431AF1" w:rsidP="57431AF1">
      <w:pPr>
        <w:rPr>
          <w:rFonts w:ascii="Georgia" w:eastAsia="Georgia" w:hAnsi="Georgia" w:cs="Georgia"/>
          <w:sz w:val="24"/>
          <w:szCs w:val="24"/>
        </w:rPr>
      </w:pPr>
      <w:r w:rsidRPr="57431AF1">
        <w:rPr>
          <w:rFonts w:ascii="Georgia" w:eastAsia="Georgia" w:hAnsi="Georgia" w:cs="Georgia"/>
          <w:sz w:val="24"/>
          <w:szCs w:val="24"/>
        </w:rPr>
        <w:t xml:space="preserve">The entire project was equally divided amongst the three of us. The distribution of the individual work to be done was discussed on a zoom meet and the six tasks were done as follows: </w:t>
      </w:r>
    </w:p>
    <w:p w14:paraId="4226F345" w14:textId="693E4114" w:rsidR="004C742F" w:rsidRDefault="57431AF1" w:rsidP="57431AF1">
      <w:pPr>
        <w:pStyle w:val="ListParagraph"/>
        <w:numPr>
          <w:ilvl w:val="0"/>
          <w:numId w:val="2"/>
        </w:numPr>
        <w:rPr>
          <w:rFonts w:ascii="Georgia" w:eastAsia="Georgia" w:hAnsi="Georgia" w:cs="Georgia"/>
          <w:sz w:val="24"/>
          <w:szCs w:val="24"/>
        </w:rPr>
      </w:pPr>
      <w:r w:rsidRPr="57431AF1">
        <w:rPr>
          <w:rFonts w:ascii="Georgia" w:eastAsia="Georgia" w:hAnsi="Georgia" w:cs="Georgia"/>
          <w:sz w:val="24"/>
          <w:szCs w:val="24"/>
        </w:rPr>
        <w:t>Task 1 and the calculation of Expected return and Variance of return and correlation calculation for the combination HDFC and ONGC was done by Avantika Arvind (3).</w:t>
      </w:r>
    </w:p>
    <w:p w14:paraId="0737C4FC" w14:textId="6B7BB99E" w:rsidR="00EC11D9" w:rsidRDefault="57431AF1" w:rsidP="57431AF1">
      <w:pPr>
        <w:pStyle w:val="ListParagraph"/>
        <w:numPr>
          <w:ilvl w:val="0"/>
          <w:numId w:val="2"/>
        </w:numPr>
        <w:rPr>
          <w:rFonts w:ascii="Georgia" w:eastAsia="Georgia" w:hAnsi="Georgia" w:cs="Georgia"/>
          <w:sz w:val="24"/>
          <w:szCs w:val="24"/>
        </w:rPr>
      </w:pPr>
      <w:r w:rsidRPr="57431AF1">
        <w:rPr>
          <w:rFonts w:ascii="Georgia" w:eastAsia="Georgia" w:hAnsi="Georgia" w:cs="Georgia"/>
          <w:sz w:val="24"/>
          <w:szCs w:val="24"/>
        </w:rPr>
        <w:t>Task 2 and the calculation of Expected return and Variance of return and correlation calculation for the combination ONGC and SpiceJet was done by Amalu Manu (45).</w:t>
      </w:r>
    </w:p>
    <w:p w14:paraId="697517FC" w14:textId="6884F587" w:rsidR="005C6546" w:rsidRDefault="57431AF1" w:rsidP="57431AF1">
      <w:pPr>
        <w:pStyle w:val="ListParagraph"/>
        <w:numPr>
          <w:ilvl w:val="0"/>
          <w:numId w:val="2"/>
        </w:numPr>
        <w:rPr>
          <w:rFonts w:ascii="Georgia" w:eastAsia="Georgia" w:hAnsi="Georgia" w:cs="Georgia"/>
          <w:sz w:val="24"/>
          <w:szCs w:val="24"/>
        </w:rPr>
      </w:pPr>
      <w:r w:rsidRPr="57431AF1">
        <w:rPr>
          <w:rFonts w:ascii="Georgia" w:eastAsia="Georgia" w:hAnsi="Georgia" w:cs="Georgia"/>
          <w:sz w:val="24"/>
          <w:szCs w:val="24"/>
        </w:rPr>
        <w:t>Task 3 and the calculation of Expected return and Variance of return and correlation calculation for the combination HDFC and SpiceJet was done by Akshita Bajpai (6).</w:t>
      </w:r>
    </w:p>
    <w:p w14:paraId="43A9F050" w14:textId="100A6FF4" w:rsidR="005C6546" w:rsidRDefault="57431AF1" w:rsidP="57431AF1">
      <w:pPr>
        <w:pStyle w:val="ListParagraph"/>
        <w:numPr>
          <w:ilvl w:val="0"/>
          <w:numId w:val="2"/>
        </w:numPr>
        <w:rPr>
          <w:rFonts w:ascii="Georgia" w:eastAsia="Georgia" w:hAnsi="Georgia" w:cs="Georgia"/>
          <w:sz w:val="24"/>
          <w:szCs w:val="24"/>
        </w:rPr>
      </w:pPr>
      <w:r w:rsidRPr="57431AF1">
        <w:rPr>
          <w:rFonts w:ascii="Georgia" w:eastAsia="Georgia" w:hAnsi="Georgia" w:cs="Georgia"/>
          <w:sz w:val="24"/>
          <w:szCs w:val="24"/>
        </w:rPr>
        <w:t>The Sharpe ratio analysis (Task 4) was done individually for the companies allotted to each member.</w:t>
      </w:r>
    </w:p>
    <w:p w14:paraId="7A807440" w14:textId="0AEF3151" w:rsidR="00B3208C" w:rsidRPr="004C742F" w:rsidRDefault="57431AF1" w:rsidP="57431AF1">
      <w:pPr>
        <w:pStyle w:val="ListParagraph"/>
        <w:numPr>
          <w:ilvl w:val="0"/>
          <w:numId w:val="2"/>
        </w:numPr>
        <w:rPr>
          <w:rFonts w:ascii="Georgia" w:eastAsia="Georgia" w:hAnsi="Georgia" w:cs="Georgia"/>
          <w:sz w:val="24"/>
          <w:szCs w:val="24"/>
        </w:rPr>
      </w:pPr>
      <w:r w:rsidRPr="57431AF1">
        <w:rPr>
          <w:rFonts w:ascii="Georgia" w:eastAsia="Georgia" w:hAnsi="Georgia" w:cs="Georgia"/>
          <w:sz w:val="24"/>
          <w:szCs w:val="24"/>
        </w:rPr>
        <w:t>The report was collectively written by each member of the group after individual analysis of the companies was done.</w:t>
      </w:r>
    </w:p>
    <w:p w14:paraId="177D7675" w14:textId="4102CF9B" w:rsidR="37416758" w:rsidRDefault="57431AF1" w:rsidP="57431AF1">
      <w:pPr>
        <w:rPr>
          <w:rFonts w:ascii="Georgia" w:eastAsia="Georgia" w:hAnsi="Georgia" w:cs="Georgia"/>
          <w:sz w:val="24"/>
          <w:szCs w:val="24"/>
        </w:rPr>
      </w:pPr>
      <w:r w:rsidRPr="57431AF1">
        <w:rPr>
          <w:rFonts w:ascii="Georgia" w:eastAsia="Georgia" w:hAnsi="Georgia" w:cs="Georgia"/>
          <w:sz w:val="24"/>
          <w:szCs w:val="24"/>
        </w:rPr>
        <w:t xml:space="preserve"> Overall, all the team members were very cooperative during the entire project and the tasks were done well before hand.</w:t>
      </w:r>
    </w:p>
    <w:p w14:paraId="23E349D9" w14:textId="24CFE086" w:rsidR="00C82EBA" w:rsidRDefault="00C82EBA" w:rsidP="57431AF1">
      <w:pPr>
        <w:rPr>
          <w:rFonts w:ascii="Georgia" w:eastAsia="Georgia" w:hAnsi="Georgia" w:cs="Georgia"/>
          <w:sz w:val="24"/>
          <w:szCs w:val="24"/>
        </w:rPr>
      </w:pPr>
      <w:r>
        <w:rPr>
          <w:rFonts w:ascii="Georgia" w:eastAsia="Georgia" w:hAnsi="Georgia" w:cs="Georgia"/>
          <w:sz w:val="24"/>
          <w:szCs w:val="24"/>
        </w:rPr>
        <w:t>__________________________________________________________</w:t>
      </w:r>
    </w:p>
    <w:p w14:paraId="0ABBAB8F" w14:textId="77777777" w:rsidR="00C82EBA" w:rsidRPr="00E4185F" w:rsidRDefault="00C82EBA" w:rsidP="00C82EBA">
      <w:pPr>
        <w:pStyle w:val="ListParagraph"/>
        <w:ind w:left="0"/>
        <w:jc w:val="center"/>
        <w:rPr>
          <w:rFonts w:ascii="Georgia" w:eastAsia="Georgia" w:hAnsi="Georgia" w:cs="Georgia"/>
          <w:b/>
          <w:bCs/>
          <w:sz w:val="28"/>
          <w:szCs w:val="28"/>
        </w:rPr>
      </w:pPr>
      <w:r w:rsidRPr="00E4185F">
        <w:rPr>
          <w:rFonts w:ascii="Georgia" w:eastAsia="Georgia" w:hAnsi="Georgia" w:cs="Georgia"/>
          <w:b/>
          <w:bCs/>
          <w:sz w:val="28"/>
          <w:szCs w:val="28"/>
        </w:rPr>
        <w:t>Group Members:</w:t>
      </w:r>
    </w:p>
    <w:p w14:paraId="5CB138B5" w14:textId="77777777" w:rsidR="00C82EBA" w:rsidRPr="00E4185F" w:rsidRDefault="00C82EBA" w:rsidP="00C82EBA">
      <w:pPr>
        <w:pStyle w:val="ListParagraph"/>
        <w:ind w:left="0"/>
        <w:jc w:val="center"/>
        <w:rPr>
          <w:rFonts w:ascii="Georgia" w:eastAsia="Georgia" w:hAnsi="Georgia" w:cs="Georgia"/>
          <w:sz w:val="28"/>
          <w:szCs w:val="28"/>
        </w:rPr>
      </w:pPr>
      <w:r w:rsidRPr="00E4185F">
        <w:rPr>
          <w:rFonts w:ascii="Georgia" w:eastAsia="Georgia" w:hAnsi="Georgia" w:cs="Georgia"/>
          <w:sz w:val="28"/>
          <w:szCs w:val="28"/>
        </w:rPr>
        <w:t>Avantika Arvind (3)</w:t>
      </w:r>
    </w:p>
    <w:p w14:paraId="15D95498" w14:textId="77777777" w:rsidR="00C82EBA" w:rsidRPr="00E4185F" w:rsidRDefault="00C82EBA" w:rsidP="00C82EBA">
      <w:pPr>
        <w:pStyle w:val="ListParagraph"/>
        <w:ind w:left="0"/>
        <w:jc w:val="center"/>
        <w:rPr>
          <w:rFonts w:ascii="Georgia" w:eastAsia="Georgia" w:hAnsi="Georgia" w:cs="Georgia"/>
          <w:sz w:val="28"/>
          <w:szCs w:val="28"/>
        </w:rPr>
      </w:pPr>
      <w:r w:rsidRPr="00E4185F">
        <w:rPr>
          <w:rFonts w:ascii="Georgia" w:eastAsia="Georgia" w:hAnsi="Georgia" w:cs="Georgia"/>
          <w:sz w:val="28"/>
          <w:szCs w:val="28"/>
        </w:rPr>
        <w:t>Akshita Bajpai (6)</w:t>
      </w:r>
    </w:p>
    <w:p w14:paraId="4D8F00B8" w14:textId="77777777" w:rsidR="00C82EBA" w:rsidRPr="00E4185F" w:rsidRDefault="00C82EBA" w:rsidP="00C82EBA">
      <w:pPr>
        <w:pStyle w:val="ListParagraph"/>
        <w:ind w:left="0"/>
        <w:jc w:val="center"/>
        <w:rPr>
          <w:rFonts w:ascii="Georgia" w:eastAsia="Georgia" w:hAnsi="Georgia" w:cs="Georgia"/>
          <w:sz w:val="28"/>
          <w:szCs w:val="28"/>
        </w:rPr>
      </w:pPr>
      <w:r w:rsidRPr="00E4185F">
        <w:rPr>
          <w:rFonts w:ascii="Georgia" w:eastAsia="Georgia" w:hAnsi="Georgia" w:cs="Georgia"/>
          <w:sz w:val="28"/>
          <w:szCs w:val="28"/>
        </w:rPr>
        <w:t>Amalu Manu (45)</w:t>
      </w:r>
    </w:p>
    <w:p w14:paraId="472C54BD" w14:textId="77777777" w:rsidR="00C82EBA" w:rsidRDefault="00C82EBA" w:rsidP="57431AF1">
      <w:pPr>
        <w:rPr>
          <w:rFonts w:ascii="Georgia" w:eastAsia="Georgia" w:hAnsi="Georgia" w:cs="Georgia"/>
          <w:sz w:val="24"/>
          <w:szCs w:val="24"/>
        </w:rPr>
      </w:pPr>
    </w:p>
    <w:p w14:paraId="6AB3FC64" w14:textId="44FE6C2D" w:rsidR="00707830" w:rsidRPr="00707830" w:rsidRDefault="00707830" w:rsidP="57431AF1">
      <w:pPr>
        <w:rPr>
          <w:rFonts w:ascii="Georgia" w:eastAsia="Georgia" w:hAnsi="Georgia" w:cs="Georgia"/>
          <w:sz w:val="24"/>
          <w:szCs w:val="24"/>
        </w:rPr>
      </w:pPr>
    </w:p>
    <w:sectPr w:rsidR="00707830" w:rsidRPr="00707830" w:rsidSect="00E4185F">
      <w:headerReference w:type="default" r:id="rId13"/>
      <w:pgSz w:w="11906" w:h="16838"/>
      <w:pgMar w:top="56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01AD5" w14:textId="77777777" w:rsidR="00132F5B" w:rsidRDefault="00132F5B" w:rsidP="00E4185F">
      <w:pPr>
        <w:spacing w:after="0" w:line="240" w:lineRule="auto"/>
      </w:pPr>
      <w:r>
        <w:separator/>
      </w:r>
    </w:p>
  </w:endnote>
  <w:endnote w:type="continuationSeparator" w:id="0">
    <w:p w14:paraId="5AFAAE51" w14:textId="77777777" w:rsidR="00132F5B" w:rsidRDefault="00132F5B" w:rsidP="00E41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C752D" w14:textId="77777777" w:rsidR="00132F5B" w:rsidRDefault="00132F5B" w:rsidP="00E4185F">
      <w:pPr>
        <w:spacing w:after="0" w:line="240" w:lineRule="auto"/>
      </w:pPr>
      <w:r>
        <w:separator/>
      </w:r>
    </w:p>
  </w:footnote>
  <w:footnote w:type="continuationSeparator" w:id="0">
    <w:p w14:paraId="2BB8AE78" w14:textId="77777777" w:rsidR="00132F5B" w:rsidRDefault="00132F5B" w:rsidP="00E41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A3081" w14:textId="77777777" w:rsidR="00E4185F" w:rsidRDefault="00E418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429DD"/>
    <w:multiLevelType w:val="hybridMultilevel"/>
    <w:tmpl w:val="760415EE"/>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1AFA240D"/>
    <w:multiLevelType w:val="hybridMultilevel"/>
    <w:tmpl w:val="66148D2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7C67631"/>
    <w:multiLevelType w:val="hybridMultilevel"/>
    <w:tmpl w:val="62640A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07E4387"/>
    <w:multiLevelType w:val="hybridMultilevel"/>
    <w:tmpl w:val="E9B67A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5A90BDA"/>
    <w:multiLevelType w:val="hybridMultilevel"/>
    <w:tmpl w:val="BFA8393A"/>
    <w:lvl w:ilvl="0" w:tplc="CC28DA5C">
      <w:start w:val="1"/>
      <w:numFmt w:val="bullet"/>
      <w:lvlText w:val=""/>
      <w:lvlJc w:val="left"/>
      <w:pPr>
        <w:ind w:left="720" w:hanging="360"/>
      </w:pPr>
      <w:rPr>
        <w:rFonts w:ascii="Symbol" w:hAnsi="Symbol" w:hint="default"/>
      </w:rPr>
    </w:lvl>
    <w:lvl w:ilvl="1" w:tplc="8DAEE95C">
      <w:start w:val="1"/>
      <w:numFmt w:val="bullet"/>
      <w:lvlText w:val="o"/>
      <w:lvlJc w:val="left"/>
      <w:pPr>
        <w:ind w:left="1440" w:hanging="360"/>
      </w:pPr>
      <w:rPr>
        <w:rFonts w:ascii="Courier New" w:hAnsi="Courier New" w:hint="default"/>
      </w:rPr>
    </w:lvl>
    <w:lvl w:ilvl="2" w:tplc="EDBA8220">
      <w:start w:val="1"/>
      <w:numFmt w:val="bullet"/>
      <w:lvlText w:val=""/>
      <w:lvlJc w:val="left"/>
      <w:pPr>
        <w:ind w:left="2160" w:hanging="360"/>
      </w:pPr>
      <w:rPr>
        <w:rFonts w:ascii="Wingdings" w:hAnsi="Wingdings" w:hint="default"/>
      </w:rPr>
    </w:lvl>
    <w:lvl w:ilvl="3" w:tplc="77F2E8E8">
      <w:start w:val="1"/>
      <w:numFmt w:val="bullet"/>
      <w:lvlText w:val=""/>
      <w:lvlJc w:val="left"/>
      <w:pPr>
        <w:ind w:left="2880" w:hanging="360"/>
      </w:pPr>
      <w:rPr>
        <w:rFonts w:ascii="Symbol" w:hAnsi="Symbol" w:hint="default"/>
      </w:rPr>
    </w:lvl>
    <w:lvl w:ilvl="4" w:tplc="B36CE9B0">
      <w:start w:val="1"/>
      <w:numFmt w:val="bullet"/>
      <w:lvlText w:val="o"/>
      <w:lvlJc w:val="left"/>
      <w:pPr>
        <w:ind w:left="3600" w:hanging="360"/>
      </w:pPr>
      <w:rPr>
        <w:rFonts w:ascii="Courier New" w:hAnsi="Courier New" w:hint="default"/>
      </w:rPr>
    </w:lvl>
    <w:lvl w:ilvl="5" w:tplc="90BACC7E">
      <w:start w:val="1"/>
      <w:numFmt w:val="bullet"/>
      <w:lvlText w:val=""/>
      <w:lvlJc w:val="left"/>
      <w:pPr>
        <w:ind w:left="4320" w:hanging="360"/>
      </w:pPr>
      <w:rPr>
        <w:rFonts w:ascii="Wingdings" w:hAnsi="Wingdings" w:hint="default"/>
      </w:rPr>
    </w:lvl>
    <w:lvl w:ilvl="6" w:tplc="A3BCFAFC">
      <w:start w:val="1"/>
      <w:numFmt w:val="bullet"/>
      <w:lvlText w:val=""/>
      <w:lvlJc w:val="left"/>
      <w:pPr>
        <w:ind w:left="5040" w:hanging="360"/>
      </w:pPr>
      <w:rPr>
        <w:rFonts w:ascii="Symbol" w:hAnsi="Symbol" w:hint="default"/>
      </w:rPr>
    </w:lvl>
    <w:lvl w:ilvl="7" w:tplc="2AE62E00">
      <w:start w:val="1"/>
      <w:numFmt w:val="bullet"/>
      <w:lvlText w:val="o"/>
      <w:lvlJc w:val="left"/>
      <w:pPr>
        <w:ind w:left="5760" w:hanging="360"/>
      </w:pPr>
      <w:rPr>
        <w:rFonts w:ascii="Courier New" w:hAnsi="Courier New" w:hint="default"/>
      </w:rPr>
    </w:lvl>
    <w:lvl w:ilvl="8" w:tplc="FF503524">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9BB"/>
    <w:rsid w:val="00006FD7"/>
    <w:rsid w:val="000159EF"/>
    <w:rsid w:val="000160C2"/>
    <w:rsid w:val="00026E1E"/>
    <w:rsid w:val="00045FF4"/>
    <w:rsid w:val="00050FD7"/>
    <w:rsid w:val="00056181"/>
    <w:rsid w:val="000575BA"/>
    <w:rsid w:val="000642ED"/>
    <w:rsid w:val="0008590D"/>
    <w:rsid w:val="00091427"/>
    <w:rsid w:val="000A0C99"/>
    <w:rsid w:val="000A2731"/>
    <w:rsid w:val="000B1341"/>
    <w:rsid w:val="000B32EB"/>
    <w:rsid w:val="000D04FA"/>
    <w:rsid w:val="000D0728"/>
    <w:rsid w:val="000D59A5"/>
    <w:rsid w:val="0010784E"/>
    <w:rsid w:val="00110617"/>
    <w:rsid w:val="00111CB3"/>
    <w:rsid w:val="00115B9C"/>
    <w:rsid w:val="00121EDE"/>
    <w:rsid w:val="001312EF"/>
    <w:rsid w:val="00132F5B"/>
    <w:rsid w:val="001507B4"/>
    <w:rsid w:val="00162FC4"/>
    <w:rsid w:val="001634F6"/>
    <w:rsid w:val="00163728"/>
    <w:rsid w:val="001760BD"/>
    <w:rsid w:val="001B55E7"/>
    <w:rsid w:val="001D5071"/>
    <w:rsid w:val="001E4579"/>
    <w:rsid w:val="0020AFCA"/>
    <w:rsid w:val="0022651D"/>
    <w:rsid w:val="00230FC6"/>
    <w:rsid w:val="002424DD"/>
    <w:rsid w:val="00262D9D"/>
    <w:rsid w:val="0026367D"/>
    <w:rsid w:val="00266637"/>
    <w:rsid w:val="00267C7E"/>
    <w:rsid w:val="00272833"/>
    <w:rsid w:val="002B11E9"/>
    <w:rsid w:val="002B3102"/>
    <w:rsid w:val="002B59BB"/>
    <w:rsid w:val="002C1041"/>
    <w:rsid w:val="002C6213"/>
    <w:rsid w:val="002D24C6"/>
    <w:rsid w:val="002E0EBF"/>
    <w:rsid w:val="002F2CC1"/>
    <w:rsid w:val="002F6DB2"/>
    <w:rsid w:val="003216F5"/>
    <w:rsid w:val="00327CE8"/>
    <w:rsid w:val="00342A2F"/>
    <w:rsid w:val="003513ED"/>
    <w:rsid w:val="0037049F"/>
    <w:rsid w:val="003726FF"/>
    <w:rsid w:val="00374030"/>
    <w:rsid w:val="003A605F"/>
    <w:rsid w:val="003B259B"/>
    <w:rsid w:val="003E55EA"/>
    <w:rsid w:val="003E68E6"/>
    <w:rsid w:val="003F2F3E"/>
    <w:rsid w:val="003F7287"/>
    <w:rsid w:val="003F7FF7"/>
    <w:rsid w:val="00403C50"/>
    <w:rsid w:val="00421A44"/>
    <w:rsid w:val="0042302C"/>
    <w:rsid w:val="00426D4F"/>
    <w:rsid w:val="00432B83"/>
    <w:rsid w:val="00433D6B"/>
    <w:rsid w:val="004344B9"/>
    <w:rsid w:val="00441C85"/>
    <w:rsid w:val="00444905"/>
    <w:rsid w:val="00447E09"/>
    <w:rsid w:val="00456AB6"/>
    <w:rsid w:val="004900EE"/>
    <w:rsid w:val="00495A9A"/>
    <w:rsid w:val="00495EF8"/>
    <w:rsid w:val="00497B8A"/>
    <w:rsid w:val="004A5AB6"/>
    <w:rsid w:val="004B1B07"/>
    <w:rsid w:val="004C742F"/>
    <w:rsid w:val="004D0085"/>
    <w:rsid w:val="004D0C6B"/>
    <w:rsid w:val="004F1733"/>
    <w:rsid w:val="004F18A0"/>
    <w:rsid w:val="00513C40"/>
    <w:rsid w:val="00522C6A"/>
    <w:rsid w:val="00524364"/>
    <w:rsid w:val="00580320"/>
    <w:rsid w:val="00592159"/>
    <w:rsid w:val="005B191F"/>
    <w:rsid w:val="005B6BFC"/>
    <w:rsid w:val="005C6546"/>
    <w:rsid w:val="005D1337"/>
    <w:rsid w:val="005F17D6"/>
    <w:rsid w:val="005F4EFC"/>
    <w:rsid w:val="005F6318"/>
    <w:rsid w:val="00604FB5"/>
    <w:rsid w:val="00627715"/>
    <w:rsid w:val="00627BC6"/>
    <w:rsid w:val="00633227"/>
    <w:rsid w:val="00643518"/>
    <w:rsid w:val="006435E3"/>
    <w:rsid w:val="006606EF"/>
    <w:rsid w:val="00684551"/>
    <w:rsid w:val="006B0ADC"/>
    <w:rsid w:val="006B7391"/>
    <w:rsid w:val="006C2C20"/>
    <w:rsid w:val="006D5D9D"/>
    <w:rsid w:val="006D6DE1"/>
    <w:rsid w:val="006D73B1"/>
    <w:rsid w:val="006F0C1D"/>
    <w:rsid w:val="006F479D"/>
    <w:rsid w:val="00707830"/>
    <w:rsid w:val="00716E0E"/>
    <w:rsid w:val="007219FD"/>
    <w:rsid w:val="00730398"/>
    <w:rsid w:val="00740458"/>
    <w:rsid w:val="007477E3"/>
    <w:rsid w:val="00755339"/>
    <w:rsid w:val="00756655"/>
    <w:rsid w:val="0075C8CB"/>
    <w:rsid w:val="007650BE"/>
    <w:rsid w:val="00776A86"/>
    <w:rsid w:val="00785A12"/>
    <w:rsid w:val="00795376"/>
    <w:rsid w:val="0079684B"/>
    <w:rsid w:val="007979C6"/>
    <w:rsid w:val="007C38EE"/>
    <w:rsid w:val="007C7EC3"/>
    <w:rsid w:val="007C7F20"/>
    <w:rsid w:val="007D7801"/>
    <w:rsid w:val="007E0C85"/>
    <w:rsid w:val="007E4541"/>
    <w:rsid w:val="007E6CF3"/>
    <w:rsid w:val="007E7D4A"/>
    <w:rsid w:val="007F3F06"/>
    <w:rsid w:val="007F788F"/>
    <w:rsid w:val="00803418"/>
    <w:rsid w:val="0081276C"/>
    <w:rsid w:val="00822B16"/>
    <w:rsid w:val="00833E04"/>
    <w:rsid w:val="00867DF9"/>
    <w:rsid w:val="0087083E"/>
    <w:rsid w:val="00875240"/>
    <w:rsid w:val="00880960"/>
    <w:rsid w:val="00886E90"/>
    <w:rsid w:val="008922D8"/>
    <w:rsid w:val="00894CB5"/>
    <w:rsid w:val="008B3AD2"/>
    <w:rsid w:val="008B767E"/>
    <w:rsid w:val="008C4D99"/>
    <w:rsid w:val="008E5EEC"/>
    <w:rsid w:val="00901D12"/>
    <w:rsid w:val="00911843"/>
    <w:rsid w:val="009429C2"/>
    <w:rsid w:val="009540DD"/>
    <w:rsid w:val="00960F1E"/>
    <w:rsid w:val="009B6C67"/>
    <w:rsid w:val="009D27B5"/>
    <w:rsid w:val="00A002F9"/>
    <w:rsid w:val="00A041D9"/>
    <w:rsid w:val="00A12C01"/>
    <w:rsid w:val="00A26BBF"/>
    <w:rsid w:val="00A26D69"/>
    <w:rsid w:val="00A3246C"/>
    <w:rsid w:val="00A50AA0"/>
    <w:rsid w:val="00A60B18"/>
    <w:rsid w:val="00AB7148"/>
    <w:rsid w:val="00AD0BC7"/>
    <w:rsid w:val="00AD0DAA"/>
    <w:rsid w:val="00AD1EBF"/>
    <w:rsid w:val="00AD1F8F"/>
    <w:rsid w:val="00B04CD3"/>
    <w:rsid w:val="00B3208C"/>
    <w:rsid w:val="00B3257B"/>
    <w:rsid w:val="00B328BD"/>
    <w:rsid w:val="00B43125"/>
    <w:rsid w:val="00B44A40"/>
    <w:rsid w:val="00B55428"/>
    <w:rsid w:val="00B5621C"/>
    <w:rsid w:val="00B6605A"/>
    <w:rsid w:val="00B85BEF"/>
    <w:rsid w:val="00B90446"/>
    <w:rsid w:val="00B90AAB"/>
    <w:rsid w:val="00B96A73"/>
    <w:rsid w:val="00BA494E"/>
    <w:rsid w:val="00BC79F2"/>
    <w:rsid w:val="00BD4BDA"/>
    <w:rsid w:val="00BD5AFC"/>
    <w:rsid w:val="00BF58B7"/>
    <w:rsid w:val="00C15B31"/>
    <w:rsid w:val="00C203D6"/>
    <w:rsid w:val="00C230BB"/>
    <w:rsid w:val="00C31A47"/>
    <w:rsid w:val="00C33D24"/>
    <w:rsid w:val="00C5030B"/>
    <w:rsid w:val="00C544F1"/>
    <w:rsid w:val="00C6279C"/>
    <w:rsid w:val="00C70C31"/>
    <w:rsid w:val="00C71BD7"/>
    <w:rsid w:val="00C82EBA"/>
    <w:rsid w:val="00CA26DD"/>
    <w:rsid w:val="00CC6984"/>
    <w:rsid w:val="00CE5DD3"/>
    <w:rsid w:val="00CF06EC"/>
    <w:rsid w:val="00CF1E06"/>
    <w:rsid w:val="00D17C5A"/>
    <w:rsid w:val="00D21174"/>
    <w:rsid w:val="00D26666"/>
    <w:rsid w:val="00D36C20"/>
    <w:rsid w:val="00D52F1E"/>
    <w:rsid w:val="00D71881"/>
    <w:rsid w:val="00D76419"/>
    <w:rsid w:val="00D914F2"/>
    <w:rsid w:val="00DA080E"/>
    <w:rsid w:val="00DA1278"/>
    <w:rsid w:val="00DB07D7"/>
    <w:rsid w:val="00DB70EA"/>
    <w:rsid w:val="00DC6C61"/>
    <w:rsid w:val="00DD3880"/>
    <w:rsid w:val="00DD5722"/>
    <w:rsid w:val="00E0163E"/>
    <w:rsid w:val="00E20B8B"/>
    <w:rsid w:val="00E23A19"/>
    <w:rsid w:val="00E32128"/>
    <w:rsid w:val="00E374B4"/>
    <w:rsid w:val="00E4185F"/>
    <w:rsid w:val="00E50AF2"/>
    <w:rsid w:val="00E87F30"/>
    <w:rsid w:val="00E93F6F"/>
    <w:rsid w:val="00EA04B6"/>
    <w:rsid w:val="00EA5D35"/>
    <w:rsid w:val="00EA5F13"/>
    <w:rsid w:val="00EB4335"/>
    <w:rsid w:val="00EB7C26"/>
    <w:rsid w:val="00EC104C"/>
    <w:rsid w:val="00EC11D9"/>
    <w:rsid w:val="00ED201C"/>
    <w:rsid w:val="00ED2E77"/>
    <w:rsid w:val="00EE1034"/>
    <w:rsid w:val="00EF1E1C"/>
    <w:rsid w:val="00EF33E5"/>
    <w:rsid w:val="00EF4498"/>
    <w:rsid w:val="00F22DDF"/>
    <w:rsid w:val="00F26521"/>
    <w:rsid w:val="00F30284"/>
    <w:rsid w:val="00F546D8"/>
    <w:rsid w:val="00F603C4"/>
    <w:rsid w:val="00F73AAD"/>
    <w:rsid w:val="00F7546E"/>
    <w:rsid w:val="00F80AE8"/>
    <w:rsid w:val="00F920AA"/>
    <w:rsid w:val="00F963E0"/>
    <w:rsid w:val="00FA4A63"/>
    <w:rsid w:val="00FE5147"/>
    <w:rsid w:val="00FE627E"/>
    <w:rsid w:val="00FF7228"/>
    <w:rsid w:val="0292BA0B"/>
    <w:rsid w:val="032B85DB"/>
    <w:rsid w:val="05D905EE"/>
    <w:rsid w:val="0601F231"/>
    <w:rsid w:val="062734FE"/>
    <w:rsid w:val="0675682B"/>
    <w:rsid w:val="0681AAD4"/>
    <w:rsid w:val="069FFE30"/>
    <w:rsid w:val="072A1DE4"/>
    <w:rsid w:val="082A2E18"/>
    <w:rsid w:val="09937151"/>
    <w:rsid w:val="0A3BE461"/>
    <w:rsid w:val="0A95AC94"/>
    <w:rsid w:val="0C10CDAF"/>
    <w:rsid w:val="0CB47A67"/>
    <w:rsid w:val="0D8DA8A4"/>
    <w:rsid w:val="0DB682D9"/>
    <w:rsid w:val="0DECE4D2"/>
    <w:rsid w:val="0E434969"/>
    <w:rsid w:val="0EFEC755"/>
    <w:rsid w:val="104EFFD2"/>
    <w:rsid w:val="10558B97"/>
    <w:rsid w:val="10C87C27"/>
    <w:rsid w:val="124562AF"/>
    <w:rsid w:val="1254A548"/>
    <w:rsid w:val="13121B72"/>
    <w:rsid w:val="1370A9FD"/>
    <w:rsid w:val="139320A6"/>
    <w:rsid w:val="1448DD16"/>
    <w:rsid w:val="144A3DDC"/>
    <w:rsid w:val="14B76CF0"/>
    <w:rsid w:val="1851F25B"/>
    <w:rsid w:val="18BB61CE"/>
    <w:rsid w:val="19479761"/>
    <w:rsid w:val="19AF24C1"/>
    <w:rsid w:val="1BB17038"/>
    <w:rsid w:val="1C0277FA"/>
    <w:rsid w:val="1C64C52B"/>
    <w:rsid w:val="1CA1B1EE"/>
    <w:rsid w:val="1E8EB14F"/>
    <w:rsid w:val="1EA0839E"/>
    <w:rsid w:val="1EAF9366"/>
    <w:rsid w:val="1FC24032"/>
    <w:rsid w:val="2000AB5C"/>
    <w:rsid w:val="20144EAB"/>
    <w:rsid w:val="20CE2E68"/>
    <w:rsid w:val="218ADB44"/>
    <w:rsid w:val="22F2BDB7"/>
    <w:rsid w:val="234675F2"/>
    <w:rsid w:val="23540EC9"/>
    <w:rsid w:val="25118B8A"/>
    <w:rsid w:val="2596BDA8"/>
    <w:rsid w:val="25DF0E96"/>
    <w:rsid w:val="2671EFB6"/>
    <w:rsid w:val="2700B4FF"/>
    <w:rsid w:val="27F78D12"/>
    <w:rsid w:val="2A02B796"/>
    <w:rsid w:val="2A2184C9"/>
    <w:rsid w:val="2BC3661D"/>
    <w:rsid w:val="2C1FA25B"/>
    <w:rsid w:val="2C3CE272"/>
    <w:rsid w:val="2EB57878"/>
    <w:rsid w:val="2F0C5E5C"/>
    <w:rsid w:val="2FA45968"/>
    <w:rsid w:val="311C6F00"/>
    <w:rsid w:val="3145A344"/>
    <w:rsid w:val="31C73EF5"/>
    <w:rsid w:val="3293C5E2"/>
    <w:rsid w:val="334E0B41"/>
    <w:rsid w:val="33721F1E"/>
    <w:rsid w:val="33B22877"/>
    <w:rsid w:val="33B85B28"/>
    <w:rsid w:val="33E63E9E"/>
    <w:rsid w:val="346517C8"/>
    <w:rsid w:val="34C33714"/>
    <w:rsid w:val="357138CF"/>
    <w:rsid w:val="35CF2FE2"/>
    <w:rsid w:val="3672461D"/>
    <w:rsid w:val="36A92868"/>
    <w:rsid w:val="36B30E2C"/>
    <w:rsid w:val="37416758"/>
    <w:rsid w:val="3AA0E630"/>
    <w:rsid w:val="3AC3B5ED"/>
    <w:rsid w:val="3ACBB8A3"/>
    <w:rsid w:val="3B7511A7"/>
    <w:rsid w:val="3C8759CC"/>
    <w:rsid w:val="3D046C8E"/>
    <w:rsid w:val="404850F4"/>
    <w:rsid w:val="424FD87D"/>
    <w:rsid w:val="42A21251"/>
    <w:rsid w:val="43A4CFDC"/>
    <w:rsid w:val="4437BC8F"/>
    <w:rsid w:val="46990D46"/>
    <w:rsid w:val="478C05F0"/>
    <w:rsid w:val="47ABBA12"/>
    <w:rsid w:val="47AEEBD8"/>
    <w:rsid w:val="486FBC01"/>
    <w:rsid w:val="49318944"/>
    <w:rsid w:val="4AF794A0"/>
    <w:rsid w:val="4B3E0280"/>
    <w:rsid w:val="4C1FAB23"/>
    <w:rsid w:val="4D24F0EE"/>
    <w:rsid w:val="4FC8760D"/>
    <w:rsid w:val="50AEBCCF"/>
    <w:rsid w:val="50C02A77"/>
    <w:rsid w:val="51283924"/>
    <w:rsid w:val="5143F137"/>
    <w:rsid w:val="517C72AC"/>
    <w:rsid w:val="51ADC64C"/>
    <w:rsid w:val="51B2F050"/>
    <w:rsid w:val="51B354F7"/>
    <w:rsid w:val="520231AA"/>
    <w:rsid w:val="536BB24C"/>
    <w:rsid w:val="5542F87F"/>
    <w:rsid w:val="55487D8D"/>
    <w:rsid w:val="55995D16"/>
    <w:rsid w:val="55B28573"/>
    <w:rsid w:val="55D26B6B"/>
    <w:rsid w:val="560C4DA6"/>
    <w:rsid w:val="566A6CF2"/>
    <w:rsid w:val="57431AF1"/>
    <w:rsid w:val="575E948C"/>
    <w:rsid w:val="58201258"/>
    <w:rsid w:val="58C34ED6"/>
    <w:rsid w:val="590974B5"/>
    <w:rsid w:val="59D5FBA2"/>
    <w:rsid w:val="5AC535A6"/>
    <w:rsid w:val="5AF81CDD"/>
    <w:rsid w:val="5BDC870C"/>
    <w:rsid w:val="5C73D475"/>
    <w:rsid w:val="5CAA5314"/>
    <w:rsid w:val="5D1C14B4"/>
    <w:rsid w:val="5D9C4F9F"/>
    <w:rsid w:val="5DC4EC6B"/>
    <w:rsid w:val="5DFD0939"/>
    <w:rsid w:val="5E0F402F"/>
    <w:rsid w:val="5F0F5063"/>
    <w:rsid w:val="60C4ADC8"/>
    <w:rsid w:val="60CCCD24"/>
    <w:rsid w:val="60E5F581"/>
    <w:rsid w:val="61956E2D"/>
    <w:rsid w:val="6240CB02"/>
    <w:rsid w:val="62FADD90"/>
    <w:rsid w:val="635FBA77"/>
    <w:rsid w:val="63D807DC"/>
    <w:rsid w:val="650885BC"/>
    <w:rsid w:val="655D55C1"/>
    <w:rsid w:val="65A63294"/>
    <w:rsid w:val="667CE746"/>
    <w:rsid w:val="67458FC5"/>
    <w:rsid w:val="6860291C"/>
    <w:rsid w:val="68FEB668"/>
    <w:rsid w:val="6AB2E4DD"/>
    <w:rsid w:val="6B170213"/>
    <w:rsid w:val="6B52E91A"/>
    <w:rsid w:val="6CF0D8F7"/>
    <w:rsid w:val="6F7D8286"/>
    <w:rsid w:val="6FEEFC25"/>
    <w:rsid w:val="70416F45"/>
    <w:rsid w:val="705C67A7"/>
    <w:rsid w:val="7068787A"/>
    <w:rsid w:val="70F93A1E"/>
    <w:rsid w:val="7181B10B"/>
    <w:rsid w:val="72330CC5"/>
    <w:rsid w:val="727B357A"/>
    <w:rsid w:val="72810289"/>
    <w:rsid w:val="739D24DF"/>
    <w:rsid w:val="74322676"/>
    <w:rsid w:val="74DBD213"/>
    <w:rsid w:val="75251F20"/>
    <w:rsid w:val="75E73464"/>
    <w:rsid w:val="77985851"/>
    <w:rsid w:val="7817317B"/>
    <w:rsid w:val="78302707"/>
    <w:rsid w:val="78E13445"/>
    <w:rsid w:val="79814995"/>
    <w:rsid w:val="7984A394"/>
    <w:rsid w:val="7A6A84B4"/>
    <w:rsid w:val="7B0A72C6"/>
    <w:rsid w:val="7B32DDBC"/>
    <w:rsid w:val="7B6DEEE7"/>
    <w:rsid w:val="7C3518FF"/>
    <w:rsid w:val="7D098C77"/>
    <w:rsid w:val="7DAB73C2"/>
    <w:rsid w:val="7F035F7E"/>
    <w:rsid w:val="7F6F540F"/>
    <w:rsid w:val="7FC08DA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22FB6"/>
  <w15:chartTrackingRefBased/>
  <w15:docId w15:val="{9183361C-8FE5-44B4-BC95-665DD0101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490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5D1337"/>
    <w:rPr>
      <w:color w:val="808080"/>
    </w:rPr>
  </w:style>
  <w:style w:type="paragraph" w:styleId="ListParagraph">
    <w:name w:val="List Paragraph"/>
    <w:basedOn w:val="Normal"/>
    <w:uiPriority w:val="34"/>
    <w:qFormat/>
    <w:rsid w:val="004C742F"/>
    <w:pPr>
      <w:ind w:left="720"/>
      <w:contextualSpacing/>
    </w:pPr>
  </w:style>
  <w:style w:type="paragraph" w:styleId="Header">
    <w:name w:val="header"/>
    <w:basedOn w:val="Normal"/>
    <w:link w:val="HeaderChar"/>
    <w:uiPriority w:val="99"/>
    <w:unhideWhenUsed/>
    <w:rsid w:val="00E418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85F"/>
  </w:style>
  <w:style w:type="paragraph" w:styleId="Footer">
    <w:name w:val="footer"/>
    <w:basedOn w:val="Normal"/>
    <w:link w:val="FooterChar"/>
    <w:uiPriority w:val="99"/>
    <w:unhideWhenUsed/>
    <w:rsid w:val="00E418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527877">
      <w:bodyDiv w:val="1"/>
      <w:marLeft w:val="0"/>
      <w:marRight w:val="0"/>
      <w:marTop w:val="0"/>
      <w:marBottom w:val="0"/>
      <w:divBdr>
        <w:top w:val="none" w:sz="0" w:space="0" w:color="auto"/>
        <w:left w:val="none" w:sz="0" w:space="0" w:color="auto"/>
        <w:bottom w:val="none" w:sz="0" w:space="0" w:color="auto"/>
        <w:right w:val="none" w:sz="0" w:space="0" w:color="auto"/>
      </w:divBdr>
      <w:divsChild>
        <w:div w:id="478351032">
          <w:marLeft w:val="0"/>
          <w:marRight w:val="0"/>
          <w:marTop w:val="0"/>
          <w:marBottom w:val="0"/>
          <w:divBdr>
            <w:top w:val="none" w:sz="0" w:space="0" w:color="auto"/>
            <w:left w:val="none" w:sz="0" w:space="0" w:color="auto"/>
            <w:bottom w:val="none" w:sz="0" w:space="0" w:color="auto"/>
            <w:right w:val="none" w:sz="0" w:space="0" w:color="auto"/>
          </w:divBdr>
        </w:div>
      </w:divsChild>
    </w:div>
    <w:div w:id="995763472">
      <w:bodyDiv w:val="1"/>
      <w:marLeft w:val="0"/>
      <w:marRight w:val="0"/>
      <w:marTop w:val="0"/>
      <w:marBottom w:val="0"/>
      <w:divBdr>
        <w:top w:val="none" w:sz="0" w:space="0" w:color="auto"/>
        <w:left w:val="none" w:sz="0" w:space="0" w:color="auto"/>
        <w:bottom w:val="none" w:sz="0" w:space="0" w:color="auto"/>
        <w:right w:val="none" w:sz="0" w:space="0" w:color="auto"/>
      </w:divBdr>
      <w:divsChild>
        <w:div w:id="1065765628">
          <w:marLeft w:val="0"/>
          <w:marRight w:val="0"/>
          <w:marTop w:val="0"/>
          <w:marBottom w:val="0"/>
          <w:divBdr>
            <w:top w:val="none" w:sz="0" w:space="0" w:color="auto"/>
            <w:left w:val="none" w:sz="0" w:space="0" w:color="auto"/>
            <w:bottom w:val="none" w:sz="0" w:space="0" w:color="auto"/>
            <w:right w:val="none" w:sz="0" w:space="0" w:color="auto"/>
          </w:divBdr>
        </w:div>
      </w:divsChild>
    </w:div>
    <w:div w:id="1111124209">
      <w:bodyDiv w:val="1"/>
      <w:marLeft w:val="0"/>
      <w:marRight w:val="0"/>
      <w:marTop w:val="0"/>
      <w:marBottom w:val="0"/>
      <w:divBdr>
        <w:top w:val="none" w:sz="0" w:space="0" w:color="auto"/>
        <w:left w:val="none" w:sz="0" w:space="0" w:color="auto"/>
        <w:bottom w:val="none" w:sz="0" w:space="0" w:color="auto"/>
        <w:right w:val="none" w:sz="0" w:space="0" w:color="auto"/>
      </w:divBdr>
      <w:divsChild>
        <w:div w:id="55399458">
          <w:marLeft w:val="0"/>
          <w:marRight w:val="0"/>
          <w:marTop w:val="0"/>
          <w:marBottom w:val="0"/>
          <w:divBdr>
            <w:top w:val="none" w:sz="0" w:space="0" w:color="auto"/>
            <w:left w:val="none" w:sz="0" w:space="0" w:color="auto"/>
            <w:bottom w:val="none" w:sz="0" w:space="0" w:color="auto"/>
            <w:right w:val="none" w:sz="0" w:space="0" w:color="auto"/>
          </w:divBdr>
        </w:div>
      </w:divsChild>
    </w:div>
    <w:div w:id="1988045967">
      <w:bodyDiv w:val="1"/>
      <w:marLeft w:val="0"/>
      <w:marRight w:val="0"/>
      <w:marTop w:val="0"/>
      <w:marBottom w:val="0"/>
      <w:divBdr>
        <w:top w:val="none" w:sz="0" w:space="0" w:color="auto"/>
        <w:left w:val="none" w:sz="0" w:space="0" w:color="auto"/>
        <w:bottom w:val="none" w:sz="0" w:space="0" w:color="auto"/>
        <w:right w:val="none" w:sz="0" w:space="0" w:color="auto"/>
      </w:divBdr>
      <w:divsChild>
        <w:div w:id="1492721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F4A060A3B3F6449A144F18AACDD7E5" ma:contentTypeVersion="7" ma:contentTypeDescription="Create a new document." ma:contentTypeScope="" ma:versionID="5827f9cd87143ecd52be8ca9c71cabf8">
  <xsd:schema xmlns:xsd="http://www.w3.org/2001/XMLSchema" xmlns:xs="http://www.w3.org/2001/XMLSchema" xmlns:p="http://schemas.microsoft.com/office/2006/metadata/properties" xmlns:ns3="4ff62397-02ef-4e96-a337-1c5f0e24d1aa" xmlns:ns4="840f0f73-1d2e-49bc-8075-873f3fbadcb3" targetNamespace="http://schemas.microsoft.com/office/2006/metadata/properties" ma:root="true" ma:fieldsID="414e56ba1951354752c2e08a9ec645d0" ns3:_="" ns4:_="">
    <xsd:import namespace="4ff62397-02ef-4e96-a337-1c5f0e24d1aa"/>
    <xsd:import namespace="840f0f73-1d2e-49bc-8075-873f3fbadcb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62397-02ef-4e96-a337-1c5f0e24d1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0f0f73-1d2e-49bc-8075-873f3fbadcb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CCF79A-57A7-465B-9CBD-2D8550B28A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1E1502-5EBE-4440-966D-17ED7CA8AAED}">
  <ds:schemaRefs>
    <ds:schemaRef ds:uri="http://schemas.microsoft.com/sharepoint/v3/contenttype/forms"/>
  </ds:schemaRefs>
</ds:datastoreItem>
</file>

<file path=customXml/itemProps3.xml><?xml version="1.0" encoding="utf-8"?>
<ds:datastoreItem xmlns:ds="http://schemas.openxmlformats.org/officeDocument/2006/customXml" ds:itemID="{255FD900-A729-4550-9850-747AA2FDE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62397-02ef-4e96-a337-1c5f0e24d1aa"/>
    <ds:schemaRef ds:uri="840f0f73-1d2e-49bc-8075-873f3fbad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Avantika Arvind</dc:creator>
  <cp:keywords/>
  <dc:description/>
  <cp:lastModifiedBy>Avantika Arvind</cp:lastModifiedBy>
  <cp:revision>244</cp:revision>
  <dcterms:created xsi:type="dcterms:W3CDTF">2021-12-24T20:32:00Z</dcterms:created>
  <dcterms:modified xsi:type="dcterms:W3CDTF">2021-12-24T12:22:00Z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0x01010056F4A060A3B3F6449A144F18AACDD7E5</vt:lpwstr>
  </property>
</Properties>
</file>