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7BF621A1" w14:textId="77777777" w:rsidTr="004B7E44">
        <w:trPr>
          <w:trHeight w:val="2536"/>
        </w:trPr>
        <w:tc>
          <w:tcPr>
            <w:tcW w:w="8541" w:type="dxa"/>
            <w:tcBorders>
              <w:top w:val="nil"/>
              <w:left w:val="nil"/>
              <w:bottom w:val="nil"/>
              <w:right w:val="nil"/>
            </w:tcBorders>
          </w:tcPr>
          <w:p w14:paraId="23B1AE79" w14:textId="4A89223F" w:rsidR="004B7E44" w:rsidRDefault="004866B0" w:rsidP="004B7E44">
            <w:r>
              <w:rPr>
                <w:noProof/>
              </w:rPr>
            </w:r>
            <w:r>
              <w:pict w14:anchorId="0F444EA1">
                <v:shapetype id="_x0000_t202" coordsize="21600,21600" o:spt="202" path="m,l,21600r21600,l21600,xe">
                  <v:stroke joinstyle="miter"/>
                  <v:path gradientshapeok="t" o:connecttype="rect"/>
                </v:shapetype>
                <v:shape id="Text Box 8" o:spid="_x0000_s2055"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74879E37" w14:textId="5D9EB319" w:rsidR="004B7E44" w:rsidRPr="004B7E44" w:rsidRDefault="00976475" w:rsidP="004B7E44">
                        <w:pPr>
                          <w:pStyle w:val="Title"/>
                        </w:pPr>
                        <w:r>
                          <w:t>OPERATIONAL RISK</w:t>
                        </w:r>
                      </w:p>
                    </w:txbxContent>
                  </v:textbox>
                  <w10:wrap type="none"/>
                  <w10:anchorlock/>
                </v:shape>
              </w:pict>
            </w:r>
          </w:p>
          <w:p w14:paraId="727F2CB3" w14:textId="26D7D8AE" w:rsidR="004B7E44" w:rsidRDefault="004866B0" w:rsidP="004B7E44">
            <w:r>
              <w:rPr>
                <w:noProof/>
              </w:rPr>
            </w:r>
            <w:r>
              <w:pict w14:anchorId="0FD2D8E7">
                <v:line id="Straight Connector 5" o:spid="_x0000_s2054"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wrap type="none"/>
                  <w10:anchorlock/>
                </v:line>
              </w:pict>
            </w:r>
          </w:p>
          <w:p w14:paraId="13E2B994" w14:textId="4734A2AF" w:rsidR="004B7E44" w:rsidRDefault="004866B0" w:rsidP="004B7E44">
            <w:r>
              <w:rPr>
                <w:noProof/>
              </w:rPr>
            </w:r>
            <w:r>
              <w:pict w14:anchorId="596307F2">
                <v:shape id="Text Box 3" o:spid="_x0000_s2053"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15C4F76B" w14:textId="5D0778EB" w:rsidR="004B7E44" w:rsidRPr="004B7E44" w:rsidRDefault="00976475" w:rsidP="004B7E44">
                        <w:pPr>
                          <w:pStyle w:val="Subtitle"/>
                        </w:pPr>
                        <w:r>
                          <w:t xml:space="preserve">AMA </w:t>
                        </w:r>
                        <w:r w:rsidR="004866B0">
                          <w:t>Approach</w:t>
                        </w:r>
                      </w:p>
                    </w:txbxContent>
                  </v:textbox>
                  <w10:wrap type="none"/>
                  <w10:anchorlock/>
                </v:shape>
              </w:pict>
            </w:r>
          </w:p>
        </w:tc>
      </w:tr>
      <w:tr w:rsidR="004B7E44" w14:paraId="35CB7960" w14:textId="77777777" w:rsidTr="004B7E44">
        <w:trPr>
          <w:trHeight w:val="3814"/>
        </w:trPr>
        <w:tc>
          <w:tcPr>
            <w:tcW w:w="8541" w:type="dxa"/>
            <w:tcBorders>
              <w:top w:val="nil"/>
              <w:left w:val="nil"/>
              <w:bottom w:val="nil"/>
              <w:right w:val="nil"/>
            </w:tcBorders>
            <w:vAlign w:val="bottom"/>
          </w:tcPr>
          <w:p w14:paraId="2C75068A" w14:textId="568B6B14" w:rsidR="004B7E44" w:rsidRDefault="004866B0" w:rsidP="004B7E44">
            <w:pPr>
              <w:rPr>
                <w:noProof/>
              </w:rPr>
            </w:pPr>
            <w:r>
              <w:rPr>
                <w:noProof/>
              </w:rPr>
            </w:r>
            <w:r>
              <w:pict w14:anchorId="1164793A">
                <v:shape id="Text Box 6" o:spid="_x0000_s2052"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zHAIAADMEAAAOAAAAZHJzL2Uyb0RvYy54bWysU8tu2zAQvBfoPxC815JV2Uk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" filled="f" stroked="f" strokeweight=".5pt">
                  <v:textbox>
                    <w:txbxContent>
                      <w:p w14:paraId="04117BE5" w14:textId="125B56EF" w:rsidR="004B7E44" w:rsidRPr="004B7E44" w:rsidRDefault="004866B0" w:rsidP="004B7E44">
                        <w:pPr>
                          <w:pStyle w:val="Heading1"/>
                        </w:pPr>
                        <w:r>
                          <w:t>Saloni Bera</w:t>
                        </w:r>
                      </w:p>
                    </w:txbxContent>
                  </v:textbox>
                  <w10:wrap type="none"/>
                  <w10:anchorlock/>
                </v:shape>
              </w:pict>
            </w:r>
          </w:p>
          <w:p w14:paraId="2088A916" w14:textId="545E4BD2" w:rsidR="004B7E44" w:rsidRDefault="004866B0" w:rsidP="004B7E44">
            <w:pPr>
              <w:rPr>
                <w:noProof/>
              </w:rPr>
            </w:pPr>
            <w:r>
              <w:rPr>
                <w:noProof/>
              </w:rPr>
            </w:r>
            <w:r>
              <w:pict w14:anchorId="156B6715">
                <v:shape id="Text Box 10" o:spid="_x0000_s2051" type="#_x0000_t202" style="width:174.4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" filled="f" stroked="f" strokeweight=".5pt">
                  <v:textbox>
                    <w:txbxContent>
                      <w:p w14:paraId="3F937559" w14:textId="4C8466CF" w:rsidR="004B7E44" w:rsidRPr="004B7E44" w:rsidRDefault="004866B0" w:rsidP="004B7E44">
                        <w:r>
                          <w:t>Roll no: 713</w:t>
                        </w:r>
                      </w:p>
                    </w:txbxContent>
                  </v:textbox>
                  <w10:wrap type="none"/>
                  <w10:anchorlock/>
                </v:shape>
              </w:pict>
            </w:r>
          </w:p>
        </w:tc>
      </w:tr>
    </w:tbl>
    <w:p w14:paraId="59FC1D2F" w14:textId="2C40F6E8" w:rsidR="004B7E44" w:rsidRDefault="004B7E44" w:rsidP="004B7E44">
      <w:r>
        <w:rPr>
          <w:noProof/>
        </w:rPr>
        <w:drawing>
          <wp:anchor distT="0" distB="0" distL="114300" distR="114300" simplePos="0" relativeHeight="251658240" behindDoc="1" locked="0" layoutInCell="1" allowOverlap="1" wp14:anchorId="3A6A1BCA" wp14:editId="13B8E409">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sidR="004866B0">
        <w:rPr>
          <w:noProof/>
        </w:rPr>
        <w:pict w14:anchorId="468660EB">
          <v:rect id="Rectangle 2" o:spid="_x0000_s2050"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" fillcolor="#a4063e [3204]" stroked="f" strokeweight="2pt">
            <w10:wrap anchory="page"/>
          </v:rect>
        </w:pict>
      </w:r>
    </w:p>
    <w:p w14:paraId="37F86E97" w14:textId="77777777" w:rsidR="004B7E44" w:rsidRDefault="004B7E44">
      <w:pPr>
        <w:spacing w:after="200"/>
      </w:pPr>
      <w:r>
        <w:br w:type="page"/>
      </w:r>
    </w:p>
    <w:p w14:paraId="77957AEE" w14:textId="77777777" w:rsidR="004866B0" w:rsidRPr="00526CF7" w:rsidRDefault="004866B0" w:rsidP="004866B0">
      <w:pPr>
        <w:rPr>
          <w:b/>
          <w:bCs/>
          <w:i/>
          <w:iCs/>
          <w:u w:val="single"/>
        </w:rPr>
      </w:pPr>
      <w:r w:rsidRPr="00526CF7">
        <w:rPr>
          <w:b/>
          <w:bCs/>
          <w:i/>
          <w:iCs/>
          <w:u w:val="single"/>
        </w:rPr>
        <w:lastRenderedPageBreak/>
        <w:t>What is operational risk?</w:t>
      </w:r>
    </w:p>
    <w:p w14:paraId="317302FF" w14:textId="78A0B6B7" w:rsidR="004B7E44" w:rsidRDefault="004866B0" w:rsidP="004866B0">
      <w:pPr>
        <w:pStyle w:val="Heading2"/>
        <w:spacing w:after="500"/>
      </w:pPr>
      <w:r>
        <w:t>What is Operational Risk?</w:t>
      </w:r>
    </w:p>
    <w:p w14:paraId="2DC97BE9" w14:textId="457BDEB1" w:rsidR="004B7E44" w:rsidRPr="00FA5215" w:rsidRDefault="004866B0" w:rsidP="004866B0">
      <w:pPr>
        <w:rPr>
          <w:color w:val="auto"/>
          <w:sz w:val="24"/>
          <w:szCs w:val="24"/>
        </w:rPr>
      </w:pPr>
      <w:r w:rsidRPr="00FA5215">
        <w:rPr>
          <w:color w:val="auto"/>
          <w:sz w:val="24"/>
          <w:szCs w:val="24"/>
        </w:rPr>
        <w:t>A bank should be able to analyze the possible risks posed by insufficient or failing internal procedures, people, and technology, as well as external events. This evaluation should consider the consequences of severe occurrences and shocks related to operational risk. A considerable increase in failed processes across business units or a significant incidence of failed internal controls are examples of events that might occur.</w:t>
      </w:r>
    </w:p>
    <w:p w14:paraId="1F09F315" w14:textId="77777777" w:rsidR="004866B0" w:rsidRDefault="004866B0" w:rsidP="004866B0">
      <w:pPr>
        <w:rPr>
          <w:b/>
          <w:bCs/>
          <w:i/>
          <w:iCs/>
          <w:color w:val="auto"/>
          <w:u w:val="single"/>
        </w:rPr>
      </w:pPr>
    </w:p>
    <w:p w14:paraId="25A368C5" w14:textId="5BBF1EE8" w:rsidR="004B7E44" w:rsidRPr="004866B0" w:rsidRDefault="004866B0" w:rsidP="004866B0">
      <w:pPr>
        <w:rPr>
          <w:b/>
          <w:bCs/>
          <w:i/>
          <w:iCs/>
          <w:color w:val="auto"/>
          <w:u w:val="single"/>
        </w:rPr>
      </w:pPr>
      <w:r w:rsidRPr="004866B0">
        <w:rPr>
          <w:b/>
          <w:bCs/>
          <w:i/>
          <w:iCs/>
          <w:color w:val="auto"/>
          <w:u w:val="single"/>
        </w:rPr>
        <w:t>What is the Advanced Measurement Approach for measurement of operational risk capital requirement?</w:t>
      </w:r>
    </w:p>
    <w:p w14:paraId="08F72037" w14:textId="77777777" w:rsidR="004B7E44" w:rsidRDefault="004B7E44" w:rsidP="004B7E44"/>
    <w:p w14:paraId="7951BFBD" w14:textId="77777777" w:rsidR="004866B0" w:rsidRPr="00FA5215" w:rsidRDefault="004866B0" w:rsidP="004866B0">
      <w:pPr>
        <w:rPr>
          <w:color w:val="auto"/>
          <w:sz w:val="24"/>
          <w:szCs w:val="24"/>
        </w:rPr>
      </w:pPr>
      <w:r w:rsidRPr="00FA5215">
        <w:rPr>
          <w:color w:val="auto"/>
          <w:sz w:val="24"/>
          <w:szCs w:val="24"/>
        </w:rPr>
        <w:t>The regulatory capital requirement will equate the risk measure derived by the bank's internal operational risk measurement system combining the quantitative and qualitative criteria for the AMA outlined below under The Advanced Measurement Approaches (AMA). The use of AMA requires supervisory clearance.</w:t>
      </w:r>
    </w:p>
    <w:p w14:paraId="5035B0EB" w14:textId="77777777" w:rsidR="004866B0" w:rsidRPr="00FA5215" w:rsidRDefault="004866B0" w:rsidP="004866B0">
      <w:pPr>
        <w:rPr>
          <w:color w:val="auto"/>
          <w:sz w:val="24"/>
          <w:szCs w:val="24"/>
        </w:rPr>
      </w:pPr>
      <w:r w:rsidRPr="00FA5215">
        <w:rPr>
          <w:color w:val="auto"/>
          <w:sz w:val="24"/>
          <w:szCs w:val="24"/>
        </w:rPr>
        <w:t>To qualify for use of the AMA a bank must satisfy its supervisor that, at a minimum:</w:t>
      </w:r>
    </w:p>
    <w:p w14:paraId="36D0F991" w14:textId="77777777" w:rsidR="004866B0" w:rsidRPr="00FA5215" w:rsidRDefault="004866B0" w:rsidP="004866B0">
      <w:pPr>
        <w:pStyle w:val="ListParagraph"/>
        <w:numPr>
          <w:ilvl w:val="0"/>
          <w:numId w:val="1"/>
        </w:numPr>
        <w:rPr>
          <w:sz w:val="24"/>
          <w:szCs w:val="24"/>
        </w:rPr>
      </w:pPr>
      <w:r w:rsidRPr="00FA5215">
        <w:rPr>
          <w:sz w:val="24"/>
          <w:szCs w:val="24"/>
        </w:rPr>
        <w:t>Its board of directors and senior management, as appropriate, are actively involved in the oversight of the operational risk management framework.</w:t>
      </w:r>
    </w:p>
    <w:p w14:paraId="0A03137C" w14:textId="77777777" w:rsidR="004866B0" w:rsidRPr="00FA5215" w:rsidRDefault="004866B0" w:rsidP="004866B0">
      <w:pPr>
        <w:pStyle w:val="ListParagraph"/>
        <w:numPr>
          <w:ilvl w:val="0"/>
          <w:numId w:val="1"/>
        </w:numPr>
        <w:rPr>
          <w:sz w:val="24"/>
          <w:szCs w:val="24"/>
        </w:rPr>
      </w:pPr>
      <w:r w:rsidRPr="00FA5215">
        <w:rPr>
          <w:sz w:val="24"/>
          <w:szCs w:val="24"/>
        </w:rPr>
        <w:t xml:space="preserve">It has an operational risk management system that is conceptually sound and is implemented and integrity; and </w:t>
      </w:r>
    </w:p>
    <w:p w14:paraId="330F2D6D" w14:textId="77777777" w:rsidR="004866B0" w:rsidRPr="00FA5215" w:rsidRDefault="004866B0" w:rsidP="004866B0">
      <w:pPr>
        <w:pStyle w:val="ListParagraph"/>
        <w:numPr>
          <w:ilvl w:val="0"/>
          <w:numId w:val="1"/>
        </w:numPr>
        <w:rPr>
          <w:sz w:val="24"/>
          <w:szCs w:val="24"/>
        </w:rPr>
      </w:pPr>
      <w:r w:rsidRPr="00FA5215">
        <w:rPr>
          <w:sz w:val="24"/>
          <w:szCs w:val="24"/>
        </w:rPr>
        <w:t>It has sufficient resources in the use of the approach in the major business lines as well as the control and audit areas.</w:t>
      </w:r>
    </w:p>
    <w:p w14:paraId="684E7CF8" w14:textId="77777777" w:rsidR="004866B0" w:rsidRPr="00FA5215" w:rsidRDefault="004866B0" w:rsidP="004866B0">
      <w:pPr>
        <w:rPr>
          <w:color w:val="auto"/>
          <w:sz w:val="24"/>
          <w:szCs w:val="24"/>
        </w:rPr>
      </w:pPr>
      <w:r w:rsidRPr="00FA5215">
        <w:rPr>
          <w:color w:val="auto"/>
          <w:sz w:val="24"/>
          <w:szCs w:val="24"/>
        </w:rPr>
        <w:t>Before it may be utilized for regulatory purposes, a bank's AMA will be subject to first supervision by its supervisor. During this time, the supervisor will be able to judge whether the approach is trustworthy and suitable. As detailed further below, a bank's internal measurement system must fairly estimate unexpected losses using a combination of internal and applicable internal control criteria. The measuring system of the bank must also be capable of enabling the allocation of economic capital for operational risk across business lines in a way that generates incentives to enhance business line operational risk management.</w:t>
      </w:r>
    </w:p>
    <w:p w14:paraId="5B6D8B85" w14:textId="148E5552" w:rsidR="00FA5215" w:rsidRDefault="00FA5215" w:rsidP="004B7E44">
      <w:pPr>
        <w:rPr>
          <w:color w:val="auto"/>
        </w:rPr>
      </w:pPr>
    </w:p>
    <w:p w14:paraId="44DC7F18" w14:textId="77777777" w:rsidR="00FA5215" w:rsidRPr="00FA5215" w:rsidRDefault="00FA5215" w:rsidP="00FA5215">
      <w:pPr>
        <w:rPr>
          <w:b/>
          <w:bCs/>
          <w:i/>
          <w:iCs/>
          <w:color w:val="auto"/>
          <w:u w:val="single"/>
        </w:rPr>
      </w:pPr>
      <w:r w:rsidRPr="00FA5215">
        <w:rPr>
          <w:b/>
          <w:bCs/>
          <w:i/>
          <w:iCs/>
          <w:color w:val="auto"/>
          <w:u w:val="single"/>
        </w:rPr>
        <w:t>What are its advantages and drawbacks over the existing operational risk measurement approaches?</w:t>
      </w:r>
    </w:p>
    <w:p w14:paraId="336BE2C3" w14:textId="7E372D91" w:rsidR="00FA5215" w:rsidRDefault="00FA5215" w:rsidP="004B7E44">
      <w:pPr>
        <w:rPr>
          <w:color w:val="auto"/>
        </w:rPr>
      </w:pPr>
    </w:p>
    <w:p w14:paraId="044FEECE" w14:textId="77777777" w:rsidR="00FA5215" w:rsidRPr="00FA5215" w:rsidRDefault="00FA5215" w:rsidP="00FA5215">
      <w:pPr>
        <w:rPr>
          <w:color w:val="auto"/>
          <w:sz w:val="24"/>
          <w:szCs w:val="24"/>
        </w:rPr>
      </w:pPr>
      <w:r w:rsidRPr="00FA5215">
        <w:rPr>
          <w:color w:val="auto"/>
          <w:sz w:val="24"/>
          <w:szCs w:val="24"/>
        </w:rPr>
        <w:t>Benefits of the advanced measurement approach:</w:t>
      </w:r>
    </w:p>
    <w:p w14:paraId="0989113B" w14:textId="77777777" w:rsidR="00FA5215" w:rsidRPr="00FA5215" w:rsidRDefault="00FA5215" w:rsidP="00FA5215">
      <w:pPr>
        <w:rPr>
          <w:color w:val="auto"/>
          <w:sz w:val="24"/>
          <w:szCs w:val="24"/>
        </w:rPr>
      </w:pPr>
      <w:r w:rsidRPr="00FA5215">
        <w:rPr>
          <w:color w:val="auto"/>
          <w:sz w:val="24"/>
          <w:szCs w:val="24"/>
        </w:rPr>
        <w:t xml:space="preserve">The beneficial influence on reputation and perception by stakeholders is one of the most evident outcomes of using an advanced approach to operational risk management. More complex and advanced risk management undoubtedly provides a strong statement to shareholders, clients, rating </w:t>
      </w:r>
      <w:r w:rsidRPr="00FA5215">
        <w:rPr>
          <w:color w:val="auto"/>
          <w:sz w:val="24"/>
          <w:szCs w:val="24"/>
        </w:rPr>
        <w:lastRenderedPageBreak/>
        <w:t>agencies, and the market about reliable and effective risk management. This reassurance is critical and provides comfort to stakeholders, particularly during times of economic upheaval and uncertainty.</w:t>
      </w:r>
    </w:p>
    <w:p w14:paraId="6A66C758" w14:textId="77777777" w:rsidR="00FA5215" w:rsidRPr="00FA5215" w:rsidRDefault="00FA5215" w:rsidP="00FA5215">
      <w:pPr>
        <w:rPr>
          <w:color w:val="auto"/>
          <w:sz w:val="24"/>
          <w:szCs w:val="24"/>
        </w:rPr>
      </w:pPr>
      <w:r w:rsidRPr="00FA5215">
        <w:rPr>
          <w:color w:val="auto"/>
          <w:sz w:val="24"/>
          <w:szCs w:val="24"/>
        </w:rPr>
        <w:t>The use of internal models to compute AMA capital needs may result in a decrease in regulatory and economic capital. Capital is allocated based on risk exposures rather than income levels, as is the case with more basic systems.</w:t>
      </w:r>
    </w:p>
    <w:p w14:paraId="03FA5CAE" w14:textId="77777777" w:rsidR="00FA5215" w:rsidRPr="00FA5215" w:rsidRDefault="00FA5215" w:rsidP="00FA5215">
      <w:pPr>
        <w:rPr>
          <w:color w:val="auto"/>
          <w:sz w:val="24"/>
          <w:szCs w:val="24"/>
        </w:rPr>
      </w:pPr>
    </w:p>
    <w:p w14:paraId="36C22D4B" w14:textId="77777777" w:rsidR="00FA5215" w:rsidRPr="00FA5215" w:rsidRDefault="00FA5215" w:rsidP="00FA5215">
      <w:pPr>
        <w:rPr>
          <w:color w:val="auto"/>
          <w:sz w:val="24"/>
          <w:szCs w:val="24"/>
        </w:rPr>
      </w:pPr>
      <w:r w:rsidRPr="00FA5215">
        <w:rPr>
          <w:color w:val="auto"/>
          <w:sz w:val="24"/>
          <w:szCs w:val="24"/>
        </w:rPr>
        <w:t>However, the most major benefit of implementing the AMA is that it leads to enhanced risk management processes and more complex risk measuring tools. To aid the effective installation of an AMA system, sophisticated risk measuring techniques (such as risk scenarios and the utilization of external data) were often implemented earlier than planned. Better risk management protects the bank's wealth and the interests of stakeholders in the long run. The deployment of the AMA has also resulted in better connections between deployed risk managers and centralized (Group function) risk specialists. Deployed risk managers were responsible for overseeing the deployment of all operational risk measurement and management components in respective business units. Centralized risk specialists produced guidance, guidelines, and policies for these initiatives, necessitating tight collaboration between Group departments and business risk managers.</w:t>
      </w:r>
    </w:p>
    <w:p w14:paraId="525064EC" w14:textId="77777777" w:rsidR="00FA5215" w:rsidRPr="00FA5215" w:rsidRDefault="00FA5215" w:rsidP="00FA5215">
      <w:pPr>
        <w:rPr>
          <w:color w:val="auto"/>
          <w:sz w:val="24"/>
          <w:szCs w:val="24"/>
        </w:rPr>
      </w:pPr>
    </w:p>
    <w:p w14:paraId="713C80EE" w14:textId="77777777" w:rsidR="00FA5215" w:rsidRPr="00FA5215" w:rsidRDefault="00FA5215" w:rsidP="00FA5215">
      <w:pPr>
        <w:rPr>
          <w:color w:val="auto"/>
          <w:sz w:val="24"/>
          <w:szCs w:val="24"/>
        </w:rPr>
      </w:pPr>
      <w:r w:rsidRPr="00FA5215">
        <w:rPr>
          <w:color w:val="auto"/>
          <w:sz w:val="24"/>
          <w:szCs w:val="24"/>
        </w:rPr>
        <w:t>Cons of the advanced measurement approach:</w:t>
      </w:r>
    </w:p>
    <w:p w14:paraId="392B2A70" w14:textId="77777777" w:rsidR="00FA5215" w:rsidRPr="00FA5215" w:rsidRDefault="00FA5215" w:rsidP="00FA5215">
      <w:pPr>
        <w:rPr>
          <w:color w:val="auto"/>
          <w:sz w:val="24"/>
          <w:szCs w:val="24"/>
        </w:rPr>
      </w:pPr>
      <w:r w:rsidRPr="00FA5215">
        <w:rPr>
          <w:color w:val="auto"/>
          <w:sz w:val="24"/>
          <w:szCs w:val="24"/>
        </w:rPr>
        <w:t>1. Difficulties in Risk Modeling</w:t>
      </w:r>
    </w:p>
    <w:p w14:paraId="4807EDD1" w14:textId="77777777" w:rsidR="00FA5215" w:rsidRPr="00FA5215" w:rsidRDefault="00FA5215" w:rsidP="00FA5215">
      <w:pPr>
        <w:rPr>
          <w:color w:val="auto"/>
          <w:sz w:val="24"/>
          <w:szCs w:val="24"/>
        </w:rPr>
      </w:pPr>
      <w:r w:rsidRPr="00FA5215">
        <w:rPr>
          <w:color w:val="auto"/>
          <w:sz w:val="24"/>
          <w:szCs w:val="24"/>
        </w:rPr>
        <w:t xml:space="preserve">The most obvious difficulty is that credit risk and market risk have similar qualities. They are both defined by the idea of 'risk exposure,' and both are subject to industry-wide standards for measuring and grading the likelihood of a loss event. 2. Operational risk lacks these characteristics, owing to the lack of a systematic, consistent, and industry-standard approach for collecting and aggregating data. </w:t>
      </w:r>
    </w:p>
    <w:p w14:paraId="733B50AD" w14:textId="77777777" w:rsidR="00FA5215" w:rsidRPr="00FA5215" w:rsidRDefault="00FA5215" w:rsidP="00FA5215">
      <w:pPr>
        <w:rPr>
          <w:color w:val="auto"/>
          <w:sz w:val="24"/>
          <w:szCs w:val="24"/>
        </w:rPr>
      </w:pPr>
      <w:r w:rsidRPr="00FA5215">
        <w:rPr>
          <w:color w:val="auto"/>
          <w:sz w:val="24"/>
          <w:szCs w:val="24"/>
        </w:rPr>
        <w:t>Risk modelers who want to fit loss data distributions to the data have a problem since there is no consistent data to work with, no established definition of what 'risk exposure' implies, and no criteria for calculating the probability of loss occurrences.</w:t>
      </w:r>
    </w:p>
    <w:p w14:paraId="4592F050" w14:textId="77777777" w:rsidR="00FA5215" w:rsidRPr="00FA5215" w:rsidRDefault="00FA5215" w:rsidP="00FA5215">
      <w:pPr>
        <w:rPr>
          <w:color w:val="auto"/>
          <w:sz w:val="24"/>
          <w:szCs w:val="24"/>
        </w:rPr>
      </w:pPr>
      <w:r w:rsidRPr="00FA5215">
        <w:rPr>
          <w:color w:val="auto"/>
          <w:sz w:val="24"/>
          <w:szCs w:val="24"/>
        </w:rPr>
        <w:t>2. Problems with Data Collection</w:t>
      </w:r>
    </w:p>
    <w:p w14:paraId="311A0375" w14:textId="77777777" w:rsidR="00FA5215" w:rsidRPr="00FA5215" w:rsidRDefault="00FA5215" w:rsidP="00FA5215">
      <w:pPr>
        <w:rPr>
          <w:color w:val="auto"/>
          <w:sz w:val="24"/>
          <w:szCs w:val="24"/>
        </w:rPr>
      </w:pPr>
      <w:r w:rsidRPr="00FA5215">
        <w:rPr>
          <w:color w:val="auto"/>
          <w:sz w:val="24"/>
          <w:szCs w:val="24"/>
        </w:rPr>
        <w:t>For market risk and credit risk, all data is clearly available in electronic form. This data may be gathered, compiled, and analyzed using automated methods, resulting in full, consistent, and homogenous historical records of loss data. In terms of operational risk, the scenario could not be more unlike. Each loss event is the consequence of a complicated interaction between numerous potential cause factors, and a big loss event can generally be retroactively analyzed into the 'unlucky' alignment of many tiny factors, each of which would be regarded inconsequential at an individual.</w:t>
      </w:r>
    </w:p>
    <w:p w14:paraId="4E03638A" w14:textId="77777777" w:rsidR="00FA5215" w:rsidRPr="00FA5215" w:rsidRDefault="00FA5215" w:rsidP="00FA5215">
      <w:pPr>
        <w:rPr>
          <w:color w:val="auto"/>
          <w:sz w:val="24"/>
          <w:szCs w:val="24"/>
        </w:rPr>
      </w:pPr>
      <w:r w:rsidRPr="00FA5215">
        <w:rPr>
          <w:color w:val="auto"/>
          <w:sz w:val="24"/>
          <w:szCs w:val="24"/>
        </w:rPr>
        <w:t>This effect is demonstrated by detailed post-event analysis of aircraft accidents4, in which the combination of diverse factors such as unusual weather conditions, a distraction to an air traffic controller, a mistake by a maintenance engineer, and the fact that the pilot just had an argument with his or her spouse can all add up to a disaster. The gathering, collation, and analysis of this sort of data is nearly hard to automate, necessitating comprehensive manual work by professionals in most cases, making the process laborious, error-prone, and expensive in and of itself.</w:t>
      </w:r>
    </w:p>
    <w:p w14:paraId="730E7C46" w14:textId="77777777" w:rsidR="00FA5215" w:rsidRPr="00FA5215" w:rsidRDefault="00FA5215" w:rsidP="00FA5215">
      <w:pPr>
        <w:rPr>
          <w:color w:val="auto"/>
          <w:sz w:val="24"/>
          <w:szCs w:val="24"/>
        </w:rPr>
      </w:pPr>
      <w:r w:rsidRPr="00FA5215">
        <w:rPr>
          <w:color w:val="auto"/>
          <w:sz w:val="24"/>
          <w:szCs w:val="24"/>
        </w:rPr>
        <w:lastRenderedPageBreak/>
        <w:t>Another issue is that, while this analysis can be performed historically for past occurrences, the intricacy of the possible dependency trees that would need to be created to use this analysis for predicting purposes is beyond the economic capability of present modelling. It is sometimes challenging to identify and calculate association between seemingly unrelated components.</w:t>
      </w:r>
    </w:p>
    <w:p w14:paraId="0DC26CCA" w14:textId="77777777" w:rsidR="00FA5215" w:rsidRPr="00FA5215" w:rsidRDefault="00FA5215" w:rsidP="00FA5215">
      <w:pPr>
        <w:rPr>
          <w:color w:val="auto"/>
          <w:sz w:val="24"/>
          <w:szCs w:val="24"/>
        </w:rPr>
      </w:pPr>
      <w:r w:rsidRPr="00FA5215">
        <w:rPr>
          <w:color w:val="auto"/>
          <w:sz w:val="24"/>
          <w:szCs w:val="24"/>
        </w:rPr>
        <w:t>We can acquire valuable lessons from previous experiences, but we cannot generalize the strategies to forecast future complicated loss event types that have not yet occurred. The unanticipated losses at the tail of the loss distribution are almost certainly of this complex sort. In practice, we are denied access to the potential portfolio of operational risks that exist since they are not clearly understood and cannot be detected or forecasted in a meaningful manner.</w:t>
      </w:r>
    </w:p>
    <w:p w14:paraId="76D42F76" w14:textId="77777777" w:rsidR="00FA5215" w:rsidRPr="00FA5215" w:rsidRDefault="00FA5215" w:rsidP="00FA5215">
      <w:pPr>
        <w:rPr>
          <w:color w:val="auto"/>
          <w:sz w:val="24"/>
          <w:szCs w:val="24"/>
        </w:rPr>
      </w:pPr>
      <w:r w:rsidRPr="00FA5215">
        <w:rPr>
          <w:color w:val="auto"/>
          <w:sz w:val="24"/>
          <w:szCs w:val="24"/>
        </w:rPr>
        <w:t>3. Loss Data Homogeneity</w:t>
      </w:r>
    </w:p>
    <w:p w14:paraId="452DB6E8" w14:textId="77777777" w:rsidR="00FA5215" w:rsidRPr="00FA5215" w:rsidRDefault="00FA5215" w:rsidP="00FA5215">
      <w:pPr>
        <w:rPr>
          <w:color w:val="auto"/>
          <w:sz w:val="24"/>
          <w:szCs w:val="24"/>
        </w:rPr>
      </w:pPr>
      <w:r w:rsidRPr="00FA5215">
        <w:rPr>
          <w:color w:val="auto"/>
          <w:sz w:val="24"/>
          <w:szCs w:val="24"/>
        </w:rPr>
        <w:t xml:space="preserve">Another problem is the lost data's uniformity. Despite the previously mentioned standardization of the 56-cell matrix, no attempt is made within that framework to identify the causes of the loss events. To fit a loss distribution to supplied data, the data components must all be from the same homogeneous distribution, which necessitates the definition of homogeneous cells at an appropriate level in the hierarchy of the business line/event type matrix. Operational risk is context dependent, which contributes to the problem. The magnitude of the loss and the likelihood of the incident vary greatly depending on the conditions surrounding the event. </w:t>
      </w:r>
    </w:p>
    <w:p w14:paraId="05CEB1A2" w14:textId="340C4ACE" w:rsidR="00FA5215" w:rsidRPr="00FA5215" w:rsidRDefault="00FA5215" w:rsidP="00FA5215">
      <w:pPr>
        <w:rPr>
          <w:color w:val="auto"/>
          <w:sz w:val="24"/>
          <w:szCs w:val="24"/>
        </w:rPr>
      </w:pPr>
      <w:r w:rsidRPr="00FA5215">
        <w:rPr>
          <w:color w:val="auto"/>
          <w:sz w:val="24"/>
          <w:szCs w:val="24"/>
        </w:rPr>
        <w:t>The business context, the nature of the operational infrastructure, and the threat scenarios all change over time, and in some cases quite fast, therefore past data acquired in one context may not be useful in the present environment. This calls into doubt the usefulness of past loss statistics. Even within the one-year time period stipulated in Basel II for which cumulative losses must be covered by capital allocation, the context of those losses might vary substantially, implying that the extent of anticipated losses and the likelihood of their occurrence is a changing goal.</w:t>
      </w:r>
    </w:p>
    <w:p w14:paraId="569E81A6" w14:textId="58C29039" w:rsidR="00FA5215" w:rsidRPr="00FA5215" w:rsidRDefault="00FA5215" w:rsidP="00FA5215">
      <w:pPr>
        <w:rPr>
          <w:color w:val="auto"/>
        </w:rPr>
      </w:pPr>
    </w:p>
    <w:p w14:paraId="3B23C541" w14:textId="665333B1" w:rsidR="00FA5215" w:rsidRPr="00FA5215" w:rsidRDefault="00FA5215" w:rsidP="00FA5215">
      <w:pPr>
        <w:rPr>
          <w:color w:val="auto"/>
        </w:rPr>
      </w:pPr>
      <w:r w:rsidRPr="00FA5215">
        <w:rPr>
          <w:b/>
          <w:bCs/>
          <w:i/>
          <w:iCs/>
          <w:color w:val="auto"/>
          <w:u w:val="single"/>
        </w:rPr>
        <w:t>What are the possible techniques of quantitatively modelling various types of operational risks?</w:t>
      </w:r>
    </w:p>
    <w:p w14:paraId="25DC0246" w14:textId="03BAA449" w:rsidR="00FA5215" w:rsidRDefault="00FA5215" w:rsidP="004B7E44">
      <w:pPr>
        <w:rPr>
          <w:color w:val="auto"/>
        </w:rPr>
      </w:pPr>
    </w:p>
    <w:p w14:paraId="75A394CC" w14:textId="77777777" w:rsidR="00FA5215" w:rsidRPr="00FA5215" w:rsidRDefault="00FA5215" w:rsidP="00FA5215">
      <w:pPr>
        <w:pStyle w:val="ListParagraph"/>
        <w:numPr>
          <w:ilvl w:val="0"/>
          <w:numId w:val="2"/>
        </w:numPr>
        <w:rPr>
          <w:sz w:val="24"/>
          <w:szCs w:val="24"/>
        </w:rPr>
      </w:pPr>
      <w:r w:rsidRPr="00FA5215">
        <w:rPr>
          <w:sz w:val="24"/>
          <w:szCs w:val="24"/>
        </w:rPr>
        <w:t>Given the ongoing development of operational risk analytical methodologies, the Committee is not identifying the approach or distributional assumptions used to create the operational risk metric for regulatory capital requirements. A bank, on the other hand, must be able to show that its strategy captures potentially catastrophic "tail" loss occurrences. Whatever technique is adopted, a bank must demonstrate that its operational risk measure fulfils a soundness requirement like the internal ratings-based credit risk approach.</w:t>
      </w:r>
    </w:p>
    <w:p w14:paraId="1F904934" w14:textId="77777777" w:rsidR="00FA5215" w:rsidRPr="00FA5215" w:rsidRDefault="00FA5215" w:rsidP="00FA5215">
      <w:pPr>
        <w:pStyle w:val="ListParagraph"/>
        <w:numPr>
          <w:ilvl w:val="0"/>
          <w:numId w:val="2"/>
        </w:numPr>
        <w:rPr>
          <w:sz w:val="24"/>
          <w:szCs w:val="24"/>
        </w:rPr>
      </w:pPr>
      <w:r w:rsidRPr="00FA5215">
        <w:rPr>
          <w:sz w:val="24"/>
          <w:szCs w:val="24"/>
        </w:rPr>
        <w:t>Banks must establish and maintain robust procedures for risk assessment model creation and independent model validation when developing operational risk assessment and management systems.</w:t>
      </w:r>
    </w:p>
    <w:p w14:paraId="7D55035D" w14:textId="77777777" w:rsidR="00FA5215" w:rsidRPr="00FA5215" w:rsidRDefault="00FA5215" w:rsidP="00FA5215">
      <w:pPr>
        <w:pStyle w:val="ListParagraph"/>
        <w:numPr>
          <w:ilvl w:val="0"/>
          <w:numId w:val="2"/>
        </w:numPr>
        <w:rPr>
          <w:sz w:val="24"/>
          <w:szCs w:val="24"/>
        </w:rPr>
      </w:pPr>
      <w:r w:rsidRPr="00FA5215">
        <w:rPr>
          <w:sz w:val="24"/>
          <w:szCs w:val="24"/>
        </w:rPr>
        <w:t xml:space="preserve">Internal loss event data monitoring is a necessary requirement for the creation and operation of a reliable operational risk measurement system. Internal loss data is critical for correlating a bank's risk projections with actual loss experience. This can be accomplished in a variety of ways, including using internal loss data as the basis for empirical risk estimations, confirming </w:t>
      </w:r>
      <w:r w:rsidRPr="00FA5215">
        <w:rPr>
          <w:sz w:val="24"/>
          <w:szCs w:val="24"/>
        </w:rPr>
        <w:lastRenderedPageBreak/>
        <w:t>the inputs and outputs of the bank's risk measurement system, or serving as the connection between loss experience and risk management and control choices.</w:t>
      </w:r>
    </w:p>
    <w:p w14:paraId="416EFED2" w14:textId="77777777" w:rsidR="00FA5215" w:rsidRPr="00FA5215" w:rsidRDefault="00FA5215" w:rsidP="00FA5215">
      <w:pPr>
        <w:pStyle w:val="ListParagraph"/>
        <w:numPr>
          <w:ilvl w:val="0"/>
          <w:numId w:val="2"/>
        </w:numPr>
        <w:rPr>
          <w:sz w:val="24"/>
          <w:szCs w:val="24"/>
        </w:rPr>
      </w:pPr>
      <w:r w:rsidRPr="00FA5215">
        <w:rPr>
          <w:sz w:val="24"/>
          <w:szCs w:val="24"/>
        </w:rPr>
        <w:t>Internal loss data is most useful when it is directly related to a bank's current commercial activity, technical processes, and risk management procedures. As a result, a bank must have established processes in place for assessing the ongoing relevance of past loss data, including scenarios in which judgement overrides, scaling, or other modifications may be used, the amount to which they may be utilized, and who is authorized to make such choices.</w:t>
      </w:r>
    </w:p>
    <w:p w14:paraId="5A3297D4" w14:textId="77777777" w:rsidR="00FA5215" w:rsidRPr="00FA5215" w:rsidRDefault="00FA5215" w:rsidP="00FA5215">
      <w:pPr>
        <w:pStyle w:val="ListParagraph"/>
        <w:numPr>
          <w:ilvl w:val="0"/>
          <w:numId w:val="2"/>
        </w:numPr>
        <w:rPr>
          <w:sz w:val="24"/>
          <w:szCs w:val="24"/>
        </w:rPr>
      </w:pPr>
      <w:r w:rsidRPr="00FA5215">
        <w:rPr>
          <w:sz w:val="24"/>
          <w:szCs w:val="24"/>
        </w:rPr>
        <w:t>Internally created operational risk measures used for regulatory capital must be based on a least five-year observation period of internal loss data, regardless of whether the internal loss data is utilized directly to develop or validate the loss measure. A three-year historical data window is appropriate when the bank initially goes to the AMA.</w:t>
      </w:r>
    </w:p>
    <w:p w14:paraId="61F77C2D" w14:textId="07CF0905" w:rsidR="00FA5215" w:rsidRPr="00FA5215" w:rsidRDefault="00FA5215" w:rsidP="00FA5215">
      <w:pPr>
        <w:pStyle w:val="ListParagraph"/>
        <w:numPr>
          <w:ilvl w:val="0"/>
          <w:numId w:val="2"/>
        </w:numPr>
        <w:rPr>
          <w:sz w:val="24"/>
          <w:szCs w:val="24"/>
        </w:rPr>
      </w:pPr>
      <w:r w:rsidRPr="00FA5215">
        <w:rPr>
          <w:sz w:val="24"/>
          <w:szCs w:val="24"/>
        </w:rPr>
        <w:t>A bank's operational risk measurement system must make use of appropriate external data (either public data or pooled industry data), especially if there is reason to suspect that the bank is vulnerable to rare but possibly catastrophic losses. These external data should contain real loss amounts, information on the scope of business activities where the event happened, information on the causes and circumstances of the loss events, and any other information that would aid in determining the loss event's significance for other banks. A bank must have a systematic approach for deciding whether scenarios need the usage of external data and the techniques for incorporating the data (</w:t>
      </w:r>
      <w:proofErr w:type="spellStart"/>
      <w:r w:rsidRPr="00FA5215">
        <w:rPr>
          <w:sz w:val="24"/>
          <w:szCs w:val="24"/>
        </w:rPr>
        <w:t>eg</w:t>
      </w:r>
      <w:proofErr w:type="spellEnd"/>
      <w:r w:rsidRPr="00FA5215">
        <w:rPr>
          <w:sz w:val="24"/>
          <w:szCs w:val="24"/>
        </w:rPr>
        <w:t xml:space="preserve"> scaling, qualitative adjustments, or informing the development of improved scenario analysis). External data usage conditions and </w:t>
      </w:r>
      <w:r w:rsidRPr="00FA5215">
        <w:rPr>
          <w:sz w:val="24"/>
          <w:szCs w:val="24"/>
        </w:rPr>
        <w:t>practices</w:t>
      </w:r>
      <w:r w:rsidRPr="00FA5215">
        <w:rPr>
          <w:sz w:val="24"/>
          <w:szCs w:val="24"/>
        </w:rPr>
        <w:t xml:space="preserve"> must be examined, recorded, and submitted to independent review on a regular basis.</w:t>
      </w:r>
    </w:p>
    <w:p w14:paraId="6E63B438" w14:textId="4DDADAB4" w:rsidR="00FA5215" w:rsidRDefault="00FA5215" w:rsidP="00FA5215">
      <w:pPr>
        <w:pStyle w:val="ListParagraph"/>
        <w:numPr>
          <w:ilvl w:val="0"/>
          <w:numId w:val="2"/>
        </w:numPr>
        <w:rPr>
          <w:sz w:val="24"/>
          <w:szCs w:val="24"/>
        </w:rPr>
      </w:pPr>
      <w:r w:rsidRPr="00FA5215">
        <w:rPr>
          <w:sz w:val="24"/>
          <w:szCs w:val="24"/>
        </w:rPr>
        <w:t xml:space="preserve">To assess its exposure to high-severity events, a bank must apply scenario analysis of expert opinion in conjunction with external data. To develop reasoned estimations of potential catastrophic losses, this technique depends on the knowledge of experienced company managers and risk management professionals. These expert opinions, for example, may be stated as parameters of an assumed statistical loss distribution. Furthermore, scenario analysis should be </w:t>
      </w:r>
      <w:r w:rsidRPr="00FA5215">
        <w:rPr>
          <w:sz w:val="24"/>
          <w:szCs w:val="24"/>
        </w:rPr>
        <w:t>utilized</w:t>
      </w:r>
      <w:r w:rsidRPr="00FA5215">
        <w:rPr>
          <w:sz w:val="24"/>
          <w:szCs w:val="24"/>
        </w:rPr>
        <w:t xml:space="preserve"> to examine the impact of departures from the correlation assumptions included in the bank's operational risk assessment methodology, specifically to evaluate possible losses resulting from several concurrent operational risk loss occurrences.</w:t>
      </w:r>
    </w:p>
    <w:p w14:paraId="1FA1CE08" w14:textId="7C4685E5" w:rsidR="00FA5215" w:rsidRDefault="00FA5215" w:rsidP="00FA5215">
      <w:pPr>
        <w:rPr>
          <w:sz w:val="24"/>
          <w:szCs w:val="24"/>
        </w:rPr>
      </w:pPr>
    </w:p>
    <w:p w14:paraId="388BA2FE" w14:textId="5FF8CD67" w:rsidR="00FA5215" w:rsidRDefault="00FA5215" w:rsidP="00FA5215">
      <w:pPr>
        <w:rPr>
          <w:sz w:val="24"/>
          <w:szCs w:val="24"/>
        </w:rPr>
      </w:pPr>
    </w:p>
    <w:p w14:paraId="66ECCE2B" w14:textId="317AEE56" w:rsidR="00FA5215" w:rsidRPr="00FA5215" w:rsidRDefault="00FA5215" w:rsidP="00FA5215">
      <w:pPr>
        <w:jc w:val="center"/>
        <w:rPr>
          <w:color w:val="auto"/>
          <w:sz w:val="96"/>
          <w:szCs w:val="96"/>
        </w:rPr>
      </w:pPr>
      <w:r w:rsidRPr="00FA5215">
        <w:rPr>
          <w:color w:val="auto"/>
          <w:sz w:val="96"/>
          <w:szCs w:val="96"/>
        </w:rPr>
        <w:t>THANK YOU!!</w:t>
      </w:r>
    </w:p>
    <w:p w14:paraId="2A3D32C0" w14:textId="77777777" w:rsidR="00FA5215" w:rsidRPr="004866B0" w:rsidRDefault="00FA5215" w:rsidP="004B7E44">
      <w:pPr>
        <w:rPr>
          <w:color w:val="auto"/>
        </w:rPr>
      </w:pPr>
    </w:p>
    <w:sectPr w:rsidR="00FA5215" w:rsidRPr="004866B0" w:rsidSect="004B7E44">
      <w:headerReference w:type="default" r:id="rId8"/>
      <w:footerReference w:type="default" r:id="rId9"/>
      <w:footerReference w:type="first" r:id="rId10"/>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E4C55" w14:textId="77777777" w:rsidR="00DC0B4E" w:rsidRDefault="00DC0B4E" w:rsidP="004B7E44">
      <w:r>
        <w:separator/>
      </w:r>
    </w:p>
  </w:endnote>
  <w:endnote w:type="continuationSeparator" w:id="0">
    <w:p w14:paraId="5748919E" w14:textId="77777777" w:rsidR="00DC0B4E" w:rsidRDefault="00DC0B4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F004DE7"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712E79B7" w14:textId="77777777" w:rsidR="004B7E44" w:rsidRDefault="004B7E44" w:rsidP="004B7E44">
          <w:pPr>
            <w:pStyle w:val="Footer"/>
          </w:pPr>
          <w:r>
            <w:t>www.companywebsite.com</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09361F04"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DCB93" w14:textId="77777777" w:rsidR="00DC0B4E" w:rsidRDefault="00DC0B4E" w:rsidP="004B7E44">
      <w:r>
        <w:separator/>
      </w:r>
    </w:p>
  </w:footnote>
  <w:footnote w:type="continuationSeparator" w:id="0">
    <w:p w14:paraId="541EBDCE" w14:textId="77777777" w:rsidR="00DC0B4E" w:rsidRDefault="00DC0B4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F01494A" w14:textId="77777777" w:rsidTr="004B7E44">
      <w:trPr>
        <w:trHeight w:val="1318"/>
      </w:trPr>
      <w:tc>
        <w:tcPr>
          <w:tcW w:w="12210" w:type="dxa"/>
          <w:tcBorders>
            <w:top w:val="nil"/>
            <w:left w:val="nil"/>
            <w:bottom w:val="nil"/>
            <w:right w:val="nil"/>
          </w:tcBorders>
        </w:tcPr>
        <w:p w14:paraId="408BD1ED" w14:textId="64061484" w:rsidR="004B7E44" w:rsidRDefault="004866B0" w:rsidP="004B7E44">
          <w:pPr>
            <w:pStyle w:val="Header"/>
          </w:pPr>
          <w:r>
            <w:rPr>
              <w:noProof/>
            </w:rPr>
          </w:r>
          <w:r>
            <w:pict w14:anchorId="1D306101">
              <v:rect id="Rectangle 11" o:spid="_x0000_s1025"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5B12B00C"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wrap type="none"/>
                <w10:anchorlock/>
              </v:rect>
            </w:pic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86C"/>
    <w:multiLevelType w:val="hybridMultilevel"/>
    <w:tmpl w:val="0FD6DEEC"/>
    <w:lvl w:ilvl="0" w:tplc="2C2A92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012B16"/>
    <w:multiLevelType w:val="hybridMultilevel"/>
    <w:tmpl w:val="3FAC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76475"/>
    <w:rsid w:val="00293B83"/>
    <w:rsid w:val="00452A68"/>
    <w:rsid w:val="004866B0"/>
    <w:rsid w:val="004B7E44"/>
    <w:rsid w:val="004D5252"/>
    <w:rsid w:val="004F2B86"/>
    <w:rsid w:val="005A718F"/>
    <w:rsid w:val="006A3CE7"/>
    <w:rsid w:val="007516CF"/>
    <w:rsid w:val="008B33BC"/>
    <w:rsid w:val="009120E9"/>
    <w:rsid w:val="00945900"/>
    <w:rsid w:val="00976475"/>
    <w:rsid w:val="009C396C"/>
    <w:rsid w:val="00B572B4"/>
    <w:rsid w:val="00DB26A7"/>
    <w:rsid w:val="00DC0B4E"/>
    <w:rsid w:val="00E76CAD"/>
    <w:rsid w:val="00E94B5F"/>
    <w:rsid w:val="00FA5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2D5FB98"/>
  <w15:docId w15:val="{461E1F88-296F-4485-9E98-37F5C505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qFormat/>
    <w:rsid w:val="004866B0"/>
    <w:pPr>
      <w:spacing w:after="160" w:line="259" w:lineRule="auto"/>
      <w:ind w:left="720"/>
      <w:contextualSpacing/>
    </w:pPr>
    <w:rPr>
      <w:rFonts w:eastAsia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oni\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(Professional design)</Template>
  <TotalTime>41</TotalTime>
  <Pages>5</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Saloni</dc:creator>
  <cp:keywords/>
  <dc:description/>
  <cp:lastModifiedBy>Saloni Bera</cp:lastModifiedBy>
  <cp:revision>2</cp:revision>
  <dcterms:created xsi:type="dcterms:W3CDTF">2022-03-30T16:06:00Z</dcterms:created>
  <dcterms:modified xsi:type="dcterms:W3CDTF">2022-03-30T18:49:00Z</dcterms:modified>
</cp:coreProperties>
</file>