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86F1" w14:textId="0C280BC5" w:rsidR="00E85E62" w:rsidRDefault="00E85E62" w:rsidP="00E85E62">
      <w:pPr>
        <w:jc w:val="center"/>
        <w:rPr>
          <w:rFonts w:ascii="Arial" w:hAnsi="Arial" w:cs="Arial"/>
          <w:b/>
          <w:bCs/>
          <w:sz w:val="24"/>
          <w:szCs w:val="24"/>
          <w:u w:val="single"/>
        </w:rPr>
      </w:pPr>
      <w:r>
        <w:rPr>
          <w:rFonts w:ascii="Arial" w:hAnsi="Arial" w:cs="Arial"/>
          <w:b/>
          <w:bCs/>
          <w:sz w:val="24"/>
          <w:szCs w:val="24"/>
          <w:u w:val="single"/>
        </w:rPr>
        <w:t>IDFM PROJECT</w:t>
      </w:r>
    </w:p>
    <w:p w14:paraId="33D9AB58" w14:textId="26C991EA" w:rsidR="00E85E62" w:rsidRDefault="00E85E62" w:rsidP="00E85E62">
      <w:pPr>
        <w:jc w:val="center"/>
        <w:rPr>
          <w:rFonts w:ascii="Arial" w:hAnsi="Arial" w:cs="Arial"/>
          <w:b/>
          <w:bCs/>
          <w:sz w:val="24"/>
          <w:szCs w:val="24"/>
          <w:u w:val="single"/>
        </w:rPr>
      </w:pPr>
      <w:r>
        <w:rPr>
          <w:rFonts w:ascii="Arial" w:hAnsi="Arial" w:cs="Arial"/>
          <w:b/>
          <w:bCs/>
          <w:sz w:val="24"/>
          <w:szCs w:val="24"/>
          <w:u w:val="single"/>
        </w:rPr>
        <w:t>BY: HARSHIDA SOBHASHNA [</w:t>
      </w:r>
      <w:r w:rsidR="006A35A7">
        <w:rPr>
          <w:rFonts w:ascii="Arial" w:hAnsi="Arial" w:cs="Arial"/>
          <w:b/>
          <w:bCs/>
          <w:sz w:val="24"/>
          <w:szCs w:val="24"/>
          <w:u w:val="single"/>
        </w:rPr>
        <w:t>40</w:t>
      </w:r>
      <w:r>
        <w:rPr>
          <w:rFonts w:ascii="Arial" w:hAnsi="Arial" w:cs="Arial"/>
          <w:b/>
          <w:bCs/>
          <w:sz w:val="24"/>
          <w:szCs w:val="24"/>
          <w:u w:val="single"/>
        </w:rPr>
        <w:t>] &amp; MADEEHA SHAIKH [3</w:t>
      </w:r>
      <w:r w:rsidR="006A35A7">
        <w:rPr>
          <w:rFonts w:ascii="Arial" w:hAnsi="Arial" w:cs="Arial"/>
          <w:b/>
          <w:bCs/>
          <w:sz w:val="24"/>
          <w:szCs w:val="24"/>
          <w:u w:val="single"/>
        </w:rPr>
        <w:t>8</w:t>
      </w:r>
      <w:r>
        <w:rPr>
          <w:rFonts w:ascii="Arial" w:hAnsi="Arial" w:cs="Arial"/>
          <w:b/>
          <w:bCs/>
          <w:sz w:val="24"/>
          <w:szCs w:val="24"/>
          <w:u w:val="single"/>
        </w:rPr>
        <w:t>]</w:t>
      </w:r>
    </w:p>
    <w:p w14:paraId="4D293560" w14:textId="77777777" w:rsidR="00E85E62" w:rsidRDefault="00E85E62">
      <w:pPr>
        <w:rPr>
          <w:rFonts w:ascii="Arial" w:hAnsi="Arial" w:cs="Arial"/>
          <w:b/>
          <w:bCs/>
          <w:sz w:val="24"/>
          <w:szCs w:val="24"/>
          <w:u w:val="single"/>
        </w:rPr>
      </w:pPr>
    </w:p>
    <w:p w14:paraId="3D48B84E" w14:textId="408F1BC5" w:rsidR="00776EBB" w:rsidRPr="00F14F3B" w:rsidRDefault="00F14F3B">
      <w:pPr>
        <w:rPr>
          <w:rFonts w:ascii="Arial" w:hAnsi="Arial" w:cs="Arial"/>
          <w:b/>
          <w:bCs/>
          <w:sz w:val="24"/>
          <w:szCs w:val="24"/>
          <w:u w:val="single"/>
        </w:rPr>
      </w:pPr>
      <w:r w:rsidRPr="00F14F3B">
        <w:rPr>
          <w:rFonts w:ascii="Arial" w:hAnsi="Arial" w:cs="Arial"/>
          <w:b/>
          <w:bCs/>
          <w:sz w:val="24"/>
          <w:szCs w:val="24"/>
          <w:u w:val="single"/>
        </w:rPr>
        <w:t>Statement 1: Hedging using options can eliminate the downside volatility of the price movement in the underlying asset at an associated cost.</w:t>
      </w:r>
    </w:p>
    <w:p w14:paraId="7D7F4649" w14:textId="16B867DE" w:rsidR="00F14F3B" w:rsidRPr="00F14F3B" w:rsidRDefault="00F14F3B">
      <w:pPr>
        <w:rPr>
          <w:rFonts w:ascii="Arial" w:hAnsi="Arial" w:cs="Arial"/>
          <w:b/>
          <w:bCs/>
          <w:sz w:val="24"/>
          <w:szCs w:val="24"/>
          <w:u w:val="single"/>
        </w:rPr>
      </w:pPr>
    </w:p>
    <w:p w14:paraId="707C0546" w14:textId="7ABA66DF" w:rsidR="00F14F3B" w:rsidRPr="00F14F3B" w:rsidRDefault="00F14F3B" w:rsidP="00F14F3B">
      <w:pPr>
        <w:pStyle w:val="comp"/>
        <w:shd w:val="clear" w:color="auto" w:fill="FFFFFF"/>
        <w:spacing w:before="0" w:beforeAutospacing="0"/>
        <w:rPr>
          <w:rFonts w:ascii="Arial" w:hAnsi="Arial" w:cs="Arial"/>
          <w:color w:val="111111"/>
        </w:rPr>
      </w:pPr>
      <w:r w:rsidRPr="00F14F3B">
        <w:rPr>
          <w:rFonts w:ascii="Arial" w:hAnsi="Arial" w:cs="Arial"/>
        </w:rPr>
        <w:t>The above statement is true.</w:t>
      </w:r>
      <w:r w:rsidRPr="00F14F3B">
        <w:rPr>
          <w:rFonts w:ascii="Arial" w:hAnsi="Arial" w:cs="Arial"/>
          <w:color w:val="111111"/>
        </w:rPr>
        <w:t xml:space="preserve"> Delta hedging is an options trading strategy that aims to reduce, or </w:t>
      </w:r>
      <w:hyperlink r:id="rId5" w:history="1">
        <w:r w:rsidRPr="00F14F3B">
          <w:rPr>
            <w:rStyle w:val="Hyperlink"/>
            <w:rFonts w:ascii="Arial" w:hAnsi="Arial" w:cs="Arial"/>
            <w:color w:val="2C40D0"/>
          </w:rPr>
          <w:t>hedge</w:t>
        </w:r>
      </w:hyperlink>
      <w:r w:rsidRPr="00F14F3B">
        <w:rPr>
          <w:rFonts w:ascii="Arial" w:hAnsi="Arial" w:cs="Arial"/>
          <w:color w:val="111111"/>
        </w:rPr>
        <w:t>, the directional risk associated with price movements in the underlying asset. The approach uses options to offset the risk to either a single other option holding or an entire portfolio of holdings. The investor tries to reach a delta neutral state and not have a directional bias on the hedge.</w:t>
      </w:r>
    </w:p>
    <w:p w14:paraId="60E34723" w14:textId="07EE91DE" w:rsidR="00F14F3B" w:rsidRDefault="00F14F3B" w:rsidP="00F14F3B">
      <w:pPr>
        <w:pStyle w:val="comp"/>
        <w:shd w:val="clear" w:color="auto" w:fill="FFFFFF"/>
        <w:spacing w:before="0" w:beforeAutospacing="0"/>
        <w:rPr>
          <w:rFonts w:ascii="Arial" w:hAnsi="Arial" w:cs="Arial"/>
          <w:color w:val="111111"/>
        </w:rPr>
      </w:pPr>
      <w:r w:rsidRPr="00F14F3B">
        <w:rPr>
          <w:rFonts w:ascii="Arial" w:hAnsi="Arial" w:cs="Arial"/>
          <w:color w:val="111111"/>
        </w:rPr>
        <w:t>Closely related is </w:t>
      </w:r>
      <w:hyperlink r:id="rId6" w:history="1">
        <w:r w:rsidRPr="00F14F3B">
          <w:rPr>
            <w:rStyle w:val="Hyperlink"/>
            <w:rFonts w:ascii="Arial" w:hAnsi="Arial" w:cs="Arial"/>
            <w:color w:val="2C40D0"/>
          </w:rPr>
          <w:t>delta-gamma</w:t>
        </w:r>
      </w:hyperlink>
      <w:r w:rsidRPr="00F14F3B">
        <w:rPr>
          <w:rFonts w:ascii="Arial" w:hAnsi="Arial" w:cs="Arial"/>
          <w:color w:val="111111"/>
        </w:rPr>
        <w:t> hedging, which is an </w:t>
      </w:r>
      <w:hyperlink r:id="rId7" w:history="1">
        <w:r w:rsidRPr="00F14F3B">
          <w:rPr>
            <w:rStyle w:val="Hyperlink"/>
            <w:rFonts w:ascii="Arial" w:hAnsi="Arial" w:cs="Arial"/>
            <w:color w:val="2C40D0"/>
          </w:rPr>
          <w:t>options</w:t>
        </w:r>
      </w:hyperlink>
      <w:r w:rsidRPr="00F14F3B">
        <w:rPr>
          <w:rFonts w:ascii="Arial" w:hAnsi="Arial" w:cs="Arial"/>
          <w:color w:val="111111"/>
        </w:rPr>
        <w:t> strategy that combines both </w:t>
      </w:r>
      <w:hyperlink r:id="rId8" w:history="1">
        <w:r w:rsidRPr="00F14F3B">
          <w:rPr>
            <w:rStyle w:val="Hyperlink"/>
            <w:rFonts w:ascii="Arial" w:hAnsi="Arial" w:cs="Arial"/>
            <w:color w:val="2C40D0"/>
          </w:rPr>
          <w:t>delta</w:t>
        </w:r>
      </w:hyperlink>
      <w:r w:rsidRPr="00F14F3B">
        <w:rPr>
          <w:rFonts w:ascii="Arial" w:hAnsi="Arial" w:cs="Arial"/>
          <w:color w:val="111111"/>
        </w:rPr>
        <w:t> and </w:t>
      </w:r>
      <w:hyperlink r:id="rId9" w:history="1">
        <w:r w:rsidRPr="00F14F3B">
          <w:rPr>
            <w:rStyle w:val="Hyperlink"/>
            <w:rFonts w:ascii="Arial" w:hAnsi="Arial" w:cs="Arial"/>
            <w:color w:val="2C40D0"/>
          </w:rPr>
          <w:t>gamma</w:t>
        </w:r>
      </w:hyperlink>
      <w:r w:rsidRPr="00F14F3B">
        <w:rPr>
          <w:rFonts w:ascii="Arial" w:hAnsi="Arial" w:cs="Arial"/>
          <w:color w:val="111111"/>
        </w:rPr>
        <w:t> hedges to mitigate the risk of changes in the </w:t>
      </w:r>
      <w:hyperlink r:id="rId10" w:history="1">
        <w:r w:rsidRPr="00F14F3B">
          <w:rPr>
            <w:rStyle w:val="Hyperlink"/>
            <w:rFonts w:ascii="Arial" w:hAnsi="Arial" w:cs="Arial"/>
            <w:color w:val="2C40D0"/>
          </w:rPr>
          <w:t>underlying asset</w:t>
        </w:r>
      </w:hyperlink>
      <w:r w:rsidRPr="00F14F3B">
        <w:rPr>
          <w:rFonts w:ascii="Arial" w:hAnsi="Arial" w:cs="Arial"/>
          <w:color w:val="111111"/>
        </w:rPr>
        <w:t> and in the delta itself.</w:t>
      </w:r>
    </w:p>
    <w:p w14:paraId="37221F80" w14:textId="77777777" w:rsidR="00F14F3B" w:rsidRDefault="002A65AE" w:rsidP="00F14F3B">
      <w:pPr>
        <w:pStyle w:val="comp"/>
        <w:shd w:val="clear" w:color="auto" w:fill="FFFFFF"/>
        <w:spacing w:before="0" w:beforeAutospacing="0"/>
        <w:rPr>
          <w:rFonts w:ascii="Arial" w:hAnsi="Arial" w:cs="Arial"/>
          <w:color w:val="111111"/>
          <w:sz w:val="26"/>
          <w:szCs w:val="26"/>
        </w:rPr>
      </w:pPr>
      <w:hyperlink r:id="rId11" w:history="1">
        <w:r w:rsidR="00F14F3B">
          <w:rPr>
            <w:rStyle w:val="Hyperlink"/>
            <w:rFonts w:ascii="Arial" w:hAnsi="Arial" w:cs="Arial"/>
            <w:color w:val="2C40D0"/>
            <w:sz w:val="26"/>
            <w:szCs w:val="26"/>
          </w:rPr>
          <w:t>Delta</w:t>
        </w:r>
      </w:hyperlink>
      <w:r w:rsidR="00F14F3B">
        <w:rPr>
          <w:rFonts w:ascii="Arial" w:hAnsi="Arial" w:cs="Arial"/>
          <w:color w:val="111111"/>
          <w:sz w:val="26"/>
          <w:szCs w:val="26"/>
        </w:rPr>
        <w:t> is a ratio between the change in the price of an options contract and the corresponding movement of the underlying asset's value. For example, if a stock option for XYZ shares has a delta of 0.45, if the underlying stock increases in market price by $1 per share, the option value on it will rise by $0.45 per share, all else being equivalent.</w:t>
      </w:r>
    </w:p>
    <w:p w14:paraId="331F322A" w14:textId="77777777" w:rsidR="00F14F3B" w:rsidRDefault="00F14F3B" w:rsidP="00F14F3B">
      <w:pPr>
        <w:pStyle w:val="comp"/>
        <w:shd w:val="clear" w:color="auto" w:fill="FFFFFF"/>
        <w:spacing w:before="0" w:beforeAutospacing="0"/>
        <w:rPr>
          <w:rFonts w:ascii="Arial" w:hAnsi="Arial" w:cs="Arial"/>
          <w:color w:val="111111"/>
          <w:sz w:val="26"/>
          <w:szCs w:val="26"/>
        </w:rPr>
      </w:pPr>
      <w:r>
        <w:rPr>
          <w:rFonts w:ascii="Arial" w:hAnsi="Arial" w:cs="Arial"/>
          <w:color w:val="111111"/>
          <w:sz w:val="26"/>
          <w:szCs w:val="26"/>
        </w:rPr>
        <w:t>For the sake of discussion, let's assume that the options discussed have equities as their underlying security. Traders want to know an option's delta since it can tell them how much the value of the option or the premium will rise or fall with a move in the stock's price. The theoretical change in premium for each basis point or $1 change in the price of the underlying is the delta, while the relationship between the two movements is the </w:t>
      </w:r>
      <w:hyperlink r:id="rId12" w:history="1">
        <w:r>
          <w:rPr>
            <w:rStyle w:val="Hyperlink"/>
            <w:rFonts w:ascii="Arial" w:hAnsi="Arial" w:cs="Arial"/>
            <w:color w:val="2C40D0"/>
            <w:sz w:val="26"/>
            <w:szCs w:val="26"/>
          </w:rPr>
          <w:t>hedge ratio</w:t>
        </w:r>
      </w:hyperlink>
      <w:r>
        <w:rPr>
          <w:rFonts w:ascii="Arial" w:hAnsi="Arial" w:cs="Arial"/>
          <w:color w:val="111111"/>
          <w:sz w:val="26"/>
          <w:szCs w:val="26"/>
        </w:rPr>
        <w:t>.</w:t>
      </w:r>
    </w:p>
    <w:p w14:paraId="4ED445BB" w14:textId="77777777" w:rsidR="00F14F3B" w:rsidRDefault="00F14F3B" w:rsidP="00F14F3B">
      <w:pPr>
        <w:pStyle w:val="comp"/>
        <w:shd w:val="clear" w:color="auto" w:fill="FFFFFF"/>
        <w:spacing w:before="0" w:beforeAutospacing="0"/>
        <w:rPr>
          <w:rFonts w:ascii="Arial" w:hAnsi="Arial" w:cs="Arial"/>
          <w:color w:val="111111"/>
          <w:sz w:val="26"/>
          <w:szCs w:val="26"/>
        </w:rPr>
      </w:pPr>
      <w:r>
        <w:rPr>
          <w:rFonts w:ascii="Arial" w:hAnsi="Arial" w:cs="Arial"/>
          <w:color w:val="111111"/>
          <w:sz w:val="26"/>
          <w:szCs w:val="26"/>
        </w:rPr>
        <w:t>The delta of a call option ranges between zero and one, while the delta of a put option ranges between negative one and zero. The price of a put option with a delta of -0.50 is expected to rise by 50 cents if the underlying asset falls by $1. The opposite is true, as well. For example, the price of a call option with a hedge ratio of 0.40 will rise 40% of the stock-price move if the price of the underlying stock increases by $1.</w:t>
      </w:r>
    </w:p>
    <w:p w14:paraId="4083F3EB" w14:textId="167C90AC" w:rsidR="00F14F3B" w:rsidRDefault="00F14F3B" w:rsidP="00F14F3B">
      <w:pPr>
        <w:pStyle w:val="comp"/>
        <w:shd w:val="clear" w:color="auto" w:fill="FFFFFF"/>
        <w:spacing w:before="0" w:beforeAutospacing="0"/>
        <w:rPr>
          <w:rFonts w:ascii="Arial" w:hAnsi="Arial" w:cs="Arial"/>
          <w:color w:val="111111"/>
          <w:sz w:val="26"/>
          <w:szCs w:val="26"/>
        </w:rPr>
      </w:pPr>
      <w:r>
        <w:rPr>
          <w:rFonts w:ascii="Arial" w:hAnsi="Arial" w:cs="Arial"/>
          <w:color w:val="111111"/>
          <w:sz w:val="26"/>
          <w:szCs w:val="26"/>
        </w:rPr>
        <w:t>The behaviour of delta is dependent on if it is:</w:t>
      </w:r>
    </w:p>
    <w:p w14:paraId="40877DF1" w14:textId="77777777" w:rsidR="00F14F3B" w:rsidRPr="00F14F3B" w:rsidRDefault="002A65AE" w:rsidP="00F14F3B">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lang w:eastAsia="en-IN"/>
        </w:rPr>
      </w:pPr>
      <w:hyperlink r:id="rId13" w:history="1">
        <w:r w:rsidR="00F14F3B" w:rsidRPr="00F14F3B">
          <w:rPr>
            <w:rFonts w:ascii="Arial" w:eastAsia="Times New Roman" w:hAnsi="Arial" w:cs="Arial"/>
            <w:color w:val="2C40D0"/>
            <w:sz w:val="26"/>
            <w:szCs w:val="26"/>
            <w:u w:val="single"/>
            <w:lang w:eastAsia="en-IN"/>
          </w:rPr>
          <w:t>In-the-money</w:t>
        </w:r>
      </w:hyperlink>
      <w:r w:rsidR="00F14F3B" w:rsidRPr="00F14F3B">
        <w:rPr>
          <w:rFonts w:ascii="Arial" w:eastAsia="Times New Roman" w:hAnsi="Arial" w:cs="Arial"/>
          <w:color w:val="111111"/>
          <w:sz w:val="26"/>
          <w:szCs w:val="26"/>
          <w:lang w:eastAsia="en-IN"/>
        </w:rPr>
        <w:t> or currently profitable</w:t>
      </w:r>
    </w:p>
    <w:p w14:paraId="28F74C9C" w14:textId="77777777" w:rsidR="00F14F3B" w:rsidRPr="00F14F3B" w:rsidRDefault="002A65AE" w:rsidP="00F14F3B">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lang w:eastAsia="en-IN"/>
        </w:rPr>
      </w:pPr>
      <w:hyperlink r:id="rId14" w:history="1">
        <w:r w:rsidR="00F14F3B" w:rsidRPr="00F14F3B">
          <w:rPr>
            <w:rFonts w:ascii="Arial" w:eastAsia="Times New Roman" w:hAnsi="Arial" w:cs="Arial"/>
            <w:color w:val="2C40D0"/>
            <w:sz w:val="26"/>
            <w:szCs w:val="26"/>
            <w:u w:val="single"/>
            <w:lang w:eastAsia="en-IN"/>
          </w:rPr>
          <w:t>At-the-money</w:t>
        </w:r>
      </w:hyperlink>
      <w:r w:rsidR="00F14F3B" w:rsidRPr="00F14F3B">
        <w:rPr>
          <w:rFonts w:ascii="Arial" w:eastAsia="Times New Roman" w:hAnsi="Arial" w:cs="Arial"/>
          <w:color w:val="111111"/>
          <w:sz w:val="26"/>
          <w:szCs w:val="26"/>
          <w:lang w:eastAsia="en-IN"/>
        </w:rPr>
        <w:t> at the same price as the strike</w:t>
      </w:r>
    </w:p>
    <w:p w14:paraId="3242D025" w14:textId="77777777" w:rsidR="00F14F3B" w:rsidRPr="00F14F3B" w:rsidRDefault="002A65AE" w:rsidP="00F14F3B">
      <w:pPr>
        <w:numPr>
          <w:ilvl w:val="0"/>
          <w:numId w:val="1"/>
        </w:numPr>
        <w:shd w:val="clear" w:color="auto" w:fill="FFFFFF"/>
        <w:spacing w:before="100" w:beforeAutospacing="1" w:after="100" w:afterAutospacing="1" w:line="240" w:lineRule="auto"/>
        <w:rPr>
          <w:rFonts w:ascii="Arial" w:eastAsia="Times New Roman" w:hAnsi="Arial" w:cs="Arial"/>
          <w:color w:val="111111"/>
          <w:sz w:val="26"/>
          <w:szCs w:val="26"/>
          <w:lang w:eastAsia="en-IN"/>
        </w:rPr>
      </w:pPr>
      <w:hyperlink r:id="rId15" w:history="1">
        <w:r w:rsidR="00F14F3B" w:rsidRPr="00F14F3B">
          <w:rPr>
            <w:rFonts w:ascii="Arial" w:eastAsia="Times New Roman" w:hAnsi="Arial" w:cs="Arial"/>
            <w:color w:val="2C40D0"/>
            <w:sz w:val="26"/>
            <w:szCs w:val="26"/>
            <w:u w:val="single"/>
            <w:lang w:eastAsia="en-IN"/>
          </w:rPr>
          <w:t>Out-of-the-money</w:t>
        </w:r>
      </w:hyperlink>
      <w:r w:rsidR="00F14F3B" w:rsidRPr="00F14F3B">
        <w:rPr>
          <w:rFonts w:ascii="Arial" w:eastAsia="Times New Roman" w:hAnsi="Arial" w:cs="Arial"/>
          <w:color w:val="111111"/>
          <w:sz w:val="26"/>
          <w:szCs w:val="26"/>
          <w:lang w:eastAsia="en-IN"/>
        </w:rPr>
        <w:t> not currently profitable</w:t>
      </w:r>
    </w:p>
    <w:p w14:paraId="4837DC41" w14:textId="77777777" w:rsidR="00F14F3B" w:rsidRPr="00F14F3B" w:rsidRDefault="00F14F3B" w:rsidP="00F14F3B">
      <w:pPr>
        <w:shd w:val="clear" w:color="auto" w:fill="FFFFFF"/>
        <w:spacing w:after="100" w:afterAutospacing="1" w:line="240" w:lineRule="auto"/>
        <w:rPr>
          <w:rFonts w:ascii="Arial" w:eastAsia="Times New Roman" w:hAnsi="Arial" w:cs="Arial"/>
          <w:color w:val="111111"/>
          <w:sz w:val="26"/>
          <w:szCs w:val="26"/>
          <w:lang w:eastAsia="en-IN"/>
        </w:rPr>
      </w:pPr>
      <w:r w:rsidRPr="00F14F3B">
        <w:rPr>
          <w:rFonts w:ascii="Arial" w:eastAsia="Times New Roman" w:hAnsi="Arial" w:cs="Arial"/>
          <w:color w:val="111111"/>
          <w:sz w:val="26"/>
          <w:szCs w:val="26"/>
          <w:lang w:eastAsia="en-IN"/>
        </w:rPr>
        <w:t>A put option with a delta of -0.50 is considered at-the-money meaning the strike price of the option is equal to the underlying stock's price. Conversely, a call option with a 0.50 delta is has a strike that's equal to the stock's price.</w:t>
      </w:r>
    </w:p>
    <w:p w14:paraId="6844D688" w14:textId="77777777" w:rsidR="00F14F3B" w:rsidRPr="00F14F3B" w:rsidRDefault="00F14F3B" w:rsidP="00F14F3B">
      <w:pPr>
        <w:shd w:val="clear" w:color="auto" w:fill="FFFFFF"/>
        <w:spacing w:after="100" w:afterAutospacing="1" w:line="240" w:lineRule="auto"/>
        <w:rPr>
          <w:rFonts w:ascii="Arial" w:eastAsia="Times New Roman" w:hAnsi="Arial" w:cs="Arial"/>
          <w:color w:val="111111"/>
          <w:sz w:val="26"/>
          <w:szCs w:val="26"/>
          <w:lang w:eastAsia="en-IN"/>
        </w:rPr>
      </w:pPr>
      <w:r w:rsidRPr="00F14F3B">
        <w:rPr>
          <w:rFonts w:ascii="Arial" w:eastAsia="Times New Roman" w:hAnsi="Arial" w:cs="Arial"/>
          <w:color w:val="111111"/>
          <w:sz w:val="26"/>
          <w:szCs w:val="26"/>
          <w:lang w:eastAsia="en-IN"/>
        </w:rPr>
        <w:t>Let's assume a trader wants to maintain a delta neutral position for investment in the stock of General Electric (GE). The investor owns—or is long one put option on GE. One option equals 100 shares of GE's stock.</w:t>
      </w:r>
    </w:p>
    <w:p w14:paraId="33E71F9D" w14:textId="77777777" w:rsidR="00F14F3B" w:rsidRPr="00F14F3B" w:rsidRDefault="00F14F3B" w:rsidP="00F14F3B">
      <w:pPr>
        <w:shd w:val="clear" w:color="auto" w:fill="FFFFFF"/>
        <w:spacing w:after="100" w:afterAutospacing="1" w:line="240" w:lineRule="auto"/>
        <w:rPr>
          <w:rFonts w:ascii="Arial" w:eastAsia="Times New Roman" w:hAnsi="Arial" w:cs="Arial"/>
          <w:color w:val="111111"/>
          <w:sz w:val="26"/>
          <w:szCs w:val="26"/>
          <w:lang w:eastAsia="en-IN"/>
        </w:rPr>
      </w:pPr>
      <w:r w:rsidRPr="00F14F3B">
        <w:rPr>
          <w:rFonts w:ascii="Arial" w:eastAsia="Times New Roman" w:hAnsi="Arial" w:cs="Arial"/>
          <w:color w:val="111111"/>
          <w:sz w:val="26"/>
          <w:szCs w:val="26"/>
          <w:lang w:eastAsia="en-IN"/>
        </w:rPr>
        <w:t>The stock declines considerably, and the trader has a profit on the put option. However, recent events have pushed the stock's price higher. However, the trader sees this rise as a short-term event and expects the stock to fall again eventually. As a result, a delta hedge is put in place to help protect the gains in the put option.</w:t>
      </w:r>
    </w:p>
    <w:p w14:paraId="44B48C59" w14:textId="30750EB6" w:rsidR="00F14F3B" w:rsidRDefault="00F14F3B" w:rsidP="00F14F3B">
      <w:pPr>
        <w:shd w:val="clear" w:color="auto" w:fill="FFFFFF"/>
        <w:spacing w:after="100" w:afterAutospacing="1" w:line="240" w:lineRule="auto"/>
        <w:rPr>
          <w:rFonts w:ascii="Arial" w:eastAsia="Times New Roman" w:hAnsi="Arial" w:cs="Arial"/>
          <w:color w:val="111111"/>
          <w:sz w:val="26"/>
          <w:szCs w:val="26"/>
          <w:lang w:eastAsia="en-IN"/>
        </w:rPr>
      </w:pPr>
      <w:r w:rsidRPr="00F14F3B">
        <w:rPr>
          <w:rFonts w:ascii="Arial" w:eastAsia="Times New Roman" w:hAnsi="Arial" w:cs="Arial"/>
          <w:color w:val="111111"/>
          <w:sz w:val="26"/>
          <w:szCs w:val="26"/>
          <w:lang w:eastAsia="en-IN"/>
        </w:rPr>
        <w:t>GE's stock has a delta of -0.75, which is usually referred to as -75. The investor establishes a delta neutral position by purchasing 75 shares of the underlying stock. At $10 per share, the investors buy 75 shares of GE at the cost of $750 in total. Once the stock's recent rise has ended or events have changed in favour of the trader's put option position, the trader can remove the delta hedge.</w:t>
      </w:r>
    </w:p>
    <w:p w14:paraId="15C21AC3" w14:textId="19C301EA" w:rsidR="00F14F3B" w:rsidRPr="00F14F3B" w:rsidRDefault="00F14F3B" w:rsidP="00F14F3B">
      <w:pPr>
        <w:shd w:val="clear" w:color="auto" w:fill="FFFFFF"/>
        <w:spacing w:after="100" w:afterAutospacing="1" w:line="240" w:lineRule="auto"/>
        <w:rPr>
          <w:rFonts w:ascii="Arial" w:hAnsi="Arial" w:cs="Arial"/>
          <w:b/>
          <w:bCs/>
          <w:sz w:val="24"/>
          <w:szCs w:val="24"/>
          <w:u w:val="single"/>
        </w:rPr>
      </w:pPr>
      <w:r w:rsidRPr="00F14F3B">
        <w:rPr>
          <w:rFonts w:ascii="Arial" w:hAnsi="Arial" w:cs="Arial"/>
          <w:b/>
          <w:bCs/>
          <w:sz w:val="24"/>
          <w:szCs w:val="24"/>
          <w:u w:val="single"/>
        </w:rPr>
        <w:t>Statement 1: Hedging using futures can potentially eliminate volatility for any movement in underlying hedged item</w:t>
      </w:r>
    </w:p>
    <w:p w14:paraId="48795934" w14:textId="77777777" w:rsidR="00E85E62" w:rsidRDefault="00F14F3B" w:rsidP="00F14F3B">
      <w:pPr>
        <w:shd w:val="clear" w:color="auto" w:fill="FFFFFF"/>
        <w:spacing w:after="100" w:afterAutospacing="1" w:line="240" w:lineRule="auto"/>
        <w:rPr>
          <w:rFonts w:ascii="Arial" w:hAnsi="Arial" w:cs="Arial"/>
          <w:color w:val="111111"/>
          <w:sz w:val="26"/>
          <w:szCs w:val="26"/>
          <w:shd w:val="clear" w:color="auto" w:fill="FFFFFF"/>
        </w:rPr>
      </w:pPr>
      <w:r w:rsidRPr="00E85E62">
        <w:rPr>
          <w:rFonts w:ascii="Arial" w:hAnsi="Arial" w:cs="Arial"/>
          <w:sz w:val="24"/>
          <w:szCs w:val="24"/>
        </w:rPr>
        <w:t>The above statement is also true.</w:t>
      </w:r>
      <w:r w:rsidRPr="00E85E62">
        <w:rPr>
          <w:rFonts w:ascii="Arial" w:hAnsi="Arial" w:cs="Arial"/>
          <w:color w:val="111111"/>
          <w:sz w:val="24"/>
          <w:szCs w:val="24"/>
          <w:shd w:val="clear" w:color="auto" w:fill="FFFFFF"/>
        </w:rPr>
        <w:t xml:space="preserve"> When an investor uses futures contracts as part of their hedging strategy, their goal is to reduce the likelihood that they will experience a loss due to an unfavourable change in the market value of the underlying asset, usually a security or another financial instrument. If the security or the financial instrument typically experiences a lot of volatility, an investor may be more likely to purchase a futures contract.</w:t>
      </w:r>
      <w:r w:rsidR="00E85E62" w:rsidRPr="00E85E62">
        <w:rPr>
          <w:rFonts w:ascii="Arial" w:hAnsi="Arial" w:cs="Arial"/>
          <w:color w:val="111111"/>
          <w:sz w:val="26"/>
          <w:szCs w:val="26"/>
          <w:shd w:val="clear" w:color="auto" w:fill="FFFFFF"/>
        </w:rPr>
        <w:t xml:space="preserve"> </w:t>
      </w:r>
    </w:p>
    <w:p w14:paraId="30B523FE" w14:textId="15EF3646" w:rsidR="00E85E62" w:rsidRDefault="00E85E62" w:rsidP="00E85E62">
      <w:pPr>
        <w:shd w:val="clear" w:color="auto" w:fill="FFFFFF"/>
        <w:spacing w:after="100" w:afterAutospacing="1" w:line="240" w:lineRule="auto"/>
        <w:rPr>
          <w:rFonts w:ascii="Arial" w:eastAsia="Times New Roman" w:hAnsi="Arial" w:cs="Arial"/>
          <w:color w:val="111111"/>
          <w:sz w:val="26"/>
          <w:szCs w:val="26"/>
          <w:lang w:eastAsia="en-IN"/>
        </w:rPr>
      </w:pPr>
      <w:r w:rsidRPr="00E85E62">
        <w:rPr>
          <w:rFonts w:ascii="Arial" w:hAnsi="Arial" w:cs="Arial"/>
          <w:color w:val="111111"/>
          <w:sz w:val="26"/>
          <w:szCs w:val="26"/>
          <w:shd w:val="clear" w:color="auto" w:fill="FFFFFF"/>
        </w:rPr>
        <w:t>A futures contract is a standardized, legal agreement to buy or sell an asset at a predetermined price at a specified time in the future. </w:t>
      </w:r>
      <w:r>
        <w:rPr>
          <w:rFonts w:ascii="Arial" w:hAnsi="Arial" w:cs="Arial"/>
          <w:color w:val="111111"/>
          <w:sz w:val="26"/>
          <w:szCs w:val="26"/>
          <w:shd w:val="clear" w:color="auto" w:fill="FFFFFF"/>
        </w:rPr>
        <w:t>When corporations invest in the futures market, it is usually because they are attempting to lock in a more favourable price in advance of a transaction. If a corporation knows that it has to purchase a specific item in the future, it may decide to take a </w:t>
      </w:r>
      <w:hyperlink r:id="rId16" w:history="1">
        <w:r>
          <w:rPr>
            <w:rStyle w:val="Hyperlink"/>
            <w:rFonts w:ascii="Arial" w:hAnsi="Arial" w:cs="Arial"/>
            <w:color w:val="2C40D0"/>
            <w:sz w:val="26"/>
            <w:szCs w:val="26"/>
            <w:shd w:val="clear" w:color="auto" w:fill="FFFFFF"/>
          </w:rPr>
          <w:t>long position</w:t>
        </w:r>
      </w:hyperlink>
      <w:r>
        <w:rPr>
          <w:rFonts w:ascii="Arial" w:hAnsi="Arial" w:cs="Arial"/>
          <w:color w:val="111111"/>
          <w:sz w:val="26"/>
          <w:szCs w:val="26"/>
          <w:shd w:val="clear" w:color="auto" w:fill="FFFFFF"/>
        </w:rPr>
        <w:t xml:space="preserve"> in a futures contract. A long position is the buying of a stock, commodity, or currency with the expectation that it will rise in value in the future. </w:t>
      </w:r>
      <w:r w:rsidRPr="00E85E62">
        <w:rPr>
          <w:rFonts w:ascii="Arial" w:eastAsia="Times New Roman" w:hAnsi="Arial" w:cs="Arial"/>
          <w:color w:val="111111"/>
          <w:sz w:val="26"/>
          <w:szCs w:val="26"/>
          <w:lang w:eastAsia="en-IN"/>
        </w:rPr>
        <w:t>Futures contracts allow corporations–especially corporations that are producers and/or consumers of commodities–and investors to hedge against unfavourable price movements of the underlying assets.</w:t>
      </w:r>
    </w:p>
    <w:p w14:paraId="34F92821" w14:textId="7494137E"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For example, suppose that Company X knows that in six months it has to purchase 20,000 ounces of silver in order to fulfil an order. Assume the current market price for silver is $12 per ounce and the price of a six-month futures contract is $11 per ounce. By purchasing the futures contract, Company X can guarantee a price of $11 per ounce. This reduces the company's risk because it will be able to close its futures position and buy 20,000 ounces of silver for $11 per ounce in six months at the contract's expiration date.</w:t>
      </w:r>
    </w:p>
    <w:p w14:paraId="558555A0" w14:textId="77777777"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If Company X had not purchased the six-months futures contract–and the price of silver ended up increasing from $12 per ounce to $14 per ounce after one month–the company would be forced to purchase the 20,000 ounces of silver at the price of $14 per ounce. This would result in a greater expense for the company (compared to the $11 per ounce price it could have guaranteed by purchasing a futures contract for silver).</w:t>
      </w:r>
    </w:p>
    <w:p w14:paraId="7732BA95" w14:textId="77777777"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On the other hand, if a company knows that it will be selling a specific item in the future, it may decide to take a </w:t>
      </w:r>
      <w:hyperlink r:id="rId17" w:history="1">
        <w:r w:rsidRPr="00E85E62">
          <w:rPr>
            <w:rFonts w:ascii="Arial" w:eastAsia="Times New Roman" w:hAnsi="Arial" w:cs="Arial"/>
            <w:color w:val="2C40D0"/>
            <w:sz w:val="24"/>
            <w:szCs w:val="24"/>
            <w:u w:val="single"/>
            <w:lang w:eastAsia="en-IN"/>
          </w:rPr>
          <w:t>short position</w:t>
        </w:r>
      </w:hyperlink>
      <w:r w:rsidRPr="00E85E62">
        <w:rPr>
          <w:rFonts w:ascii="Arial" w:eastAsia="Times New Roman" w:hAnsi="Arial" w:cs="Arial"/>
          <w:sz w:val="24"/>
          <w:szCs w:val="24"/>
          <w:lang w:eastAsia="en-IN"/>
        </w:rPr>
        <w:t> in a futures contract. Shorting is the buying of a stock, commodity, or currency with the expectation that it will decline in value in the future.</w:t>
      </w:r>
    </w:p>
    <w:p w14:paraId="702CCFB3" w14:textId="77777777"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For example, Company X may agree to a legal contract that obligates them to sell 20,000 ounces of silver at a date that is six months in the future if the current market price for silver is $12 per ounce and the futures price is $11 per ounce. When Company X closes out its futures position in six months, they will be able to sell its 20,000 worth of silver at $11 per ounce.</w:t>
      </w:r>
    </w:p>
    <w:p w14:paraId="022903B0" w14:textId="77777777"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If Company X had not made the decision to take this position in a futures contract, and the market price of silver had unexpectedly dipped to $10, it would have been forced to sell every ounce of its silver at $10 per ounce (compared to selling every ounce of silver at $11 per ounce). In this situation, the company has decreased its risk that it will experience financial damage as a result of a steep decline in the market price for silver in the future. Company X has guaranteed that it will receive $11 for every ounce of silver that it sells.</w:t>
      </w:r>
    </w:p>
    <w:p w14:paraId="7951CFC9" w14:textId="4A3539E7" w:rsidR="00E85E62" w:rsidRPr="00E85E62" w:rsidRDefault="00E85E62" w:rsidP="00E85E62">
      <w:pPr>
        <w:spacing w:after="100" w:afterAutospacing="1" w:line="240" w:lineRule="auto"/>
        <w:rPr>
          <w:rFonts w:ascii="Arial" w:eastAsia="Times New Roman" w:hAnsi="Arial" w:cs="Arial"/>
          <w:sz w:val="24"/>
          <w:szCs w:val="24"/>
          <w:lang w:eastAsia="en-IN"/>
        </w:rPr>
      </w:pPr>
      <w:r w:rsidRPr="00E85E62">
        <w:rPr>
          <w:rFonts w:ascii="Arial" w:eastAsia="Times New Roman" w:hAnsi="Arial" w:cs="Arial"/>
          <w:sz w:val="24"/>
          <w:szCs w:val="24"/>
          <w:lang w:eastAsia="en-IN"/>
        </w:rPr>
        <w:t>The main advantage for investors looking to participate in a futures contract is that it removes the uncertainty about the future price of a commodity, security, or a financial instrument. By locking in a price for which you are guaranteed to be able to buy or sell a particular asset, companies are able to eliminate the risk of any unexpected expenses or losses.</w:t>
      </w:r>
    </w:p>
    <w:p w14:paraId="529D4CD4" w14:textId="77777777" w:rsidR="00E85E62" w:rsidRPr="00E85E62" w:rsidRDefault="00E85E62" w:rsidP="00E85E62">
      <w:pPr>
        <w:spacing w:after="0" w:line="240" w:lineRule="atLeast"/>
        <w:textAlignment w:val="baseline"/>
        <w:rPr>
          <w:rFonts w:ascii="Arial" w:eastAsia="Times New Roman" w:hAnsi="Arial" w:cs="Arial"/>
          <w:color w:val="111111"/>
          <w:sz w:val="24"/>
          <w:szCs w:val="24"/>
          <w:lang w:eastAsia="en-IN"/>
        </w:rPr>
      </w:pPr>
      <w:r w:rsidRPr="00E85E62">
        <w:rPr>
          <w:rFonts w:ascii="Arial" w:eastAsia="Times New Roman" w:hAnsi="Arial" w:cs="Arial"/>
          <w:color w:val="111111"/>
          <w:sz w:val="24"/>
          <w:szCs w:val="24"/>
          <w:lang w:eastAsia="en-IN"/>
        </w:rPr>
        <w:t> </w:t>
      </w:r>
    </w:p>
    <w:p w14:paraId="1501C64B" w14:textId="77777777" w:rsidR="00E85E62" w:rsidRPr="00E85E62" w:rsidRDefault="00E85E62" w:rsidP="00E85E62">
      <w:pPr>
        <w:shd w:val="clear" w:color="auto" w:fill="FFFFFF"/>
        <w:spacing w:after="100" w:afterAutospacing="1" w:line="240" w:lineRule="auto"/>
        <w:rPr>
          <w:rFonts w:ascii="Arial" w:hAnsi="Arial" w:cs="Arial"/>
          <w:color w:val="111111"/>
          <w:sz w:val="26"/>
          <w:szCs w:val="26"/>
          <w:shd w:val="clear" w:color="auto" w:fill="FFFFFF"/>
        </w:rPr>
      </w:pPr>
    </w:p>
    <w:p w14:paraId="2A2FCD18" w14:textId="77777777" w:rsidR="00E85E62" w:rsidRPr="00F14F3B" w:rsidRDefault="00E85E62" w:rsidP="00F14F3B">
      <w:pPr>
        <w:shd w:val="clear" w:color="auto" w:fill="FFFFFF"/>
        <w:spacing w:after="100" w:afterAutospacing="1" w:line="240" w:lineRule="auto"/>
        <w:rPr>
          <w:rFonts w:ascii="Arial" w:eastAsia="Times New Roman" w:hAnsi="Arial" w:cs="Arial"/>
          <w:color w:val="111111"/>
          <w:sz w:val="24"/>
          <w:szCs w:val="24"/>
          <w:lang w:eastAsia="en-IN"/>
        </w:rPr>
      </w:pPr>
    </w:p>
    <w:p w14:paraId="665E9B62" w14:textId="77777777" w:rsidR="00F14F3B" w:rsidRPr="00E85E62" w:rsidRDefault="00F14F3B" w:rsidP="00F14F3B">
      <w:pPr>
        <w:pStyle w:val="comp"/>
        <w:shd w:val="clear" w:color="auto" w:fill="FFFFFF"/>
        <w:spacing w:before="0" w:beforeAutospacing="0"/>
        <w:rPr>
          <w:rFonts w:ascii="Arial" w:hAnsi="Arial" w:cs="Arial"/>
          <w:color w:val="111111"/>
        </w:rPr>
      </w:pPr>
    </w:p>
    <w:p w14:paraId="3B75612D" w14:textId="0A2CFB89" w:rsidR="00F14F3B" w:rsidRPr="00E85E62" w:rsidRDefault="00F14F3B">
      <w:pPr>
        <w:rPr>
          <w:rFonts w:ascii="Arial" w:hAnsi="Arial" w:cs="Arial"/>
          <w:lang w:val="en-US"/>
        </w:rPr>
      </w:pPr>
    </w:p>
    <w:sectPr w:rsidR="00F14F3B" w:rsidRPr="00E85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76509"/>
    <w:multiLevelType w:val="multilevel"/>
    <w:tmpl w:val="9A9E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91040E"/>
    <w:multiLevelType w:val="multilevel"/>
    <w:tmpl w:val="9366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3B"/>
    <w:rsid w:val="002A65AE"/>
    <w:rsid w:val="006A35A7"/>
    <w:rsid w:val="00776EBB"/>
    <w:rsid w:val="00E85E62"/>
    <w:rsid w:val="00F14F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CFDE"/>
  <w15:chartTrackingRefBased/>
  <w15:docId w15:val="{DAF87D30-AAA6-4393-9B63-4A4914DA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F14F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14F3B"/>
    <w:rPr>
      <w:color w:val="0000FF"/>
      <w:u w:val="single"/>
    </w:rPr>
  </w:style>
  <w:style w:type="character" w:customStyle="1" w:styleId="jw-time-update">
    <w:name w:val="jw-time-update"/>
    <w:basedOn w:val="DefaultParagraphFont"/>
    <w:rsid w:val="00E85E62"/>
  </w:style>
  <w:style w:type="character" w:customStyle="1" w:styleId="jw-volume-update">
    <w:name w:val="jw-volume-update"/>
    <w:basedOn w:val="DefaultParagraphFont"/>
    <w:rsid w:val="00E8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29120">
      <w:bodyDiv w:val="1"/>
      <w:marLeft w:val="0"/>
      <w:marRight w:val="0"/>
      <w:marTop w:val="0"/>
      <w:marBottom w:val="0"/>
      <w:divBdr>
        <w:top w:val="none" w:sz="0" w:space="0" w:color="auto"/>
        <w:left w:val="none" w:sz="0" w:space="0" w:color="auto"/>
        <w:bottom w:val="none" w:sz="0" w:space="0" w:color="auto"/>
        <w:right w:val="none" w:sz="0" w:space="0" w:color="auto"/>
      </w:divBdr>
    </w:div>
    <w:div w:id="866524764">
      <w:bodyDiv w:val="1"/>
      <w:marLeft w:val="0"/>
      <w:marRight w:val="0"/>
      <w:marTop w:val="0"/>
      <w:marBottom w:val="0"/>
      <w:divBdr>
        <w:top w:val="none" w:sz="0" w:space="0" w:color="auto"/>
        <w:left w:val="none" w:sz="0" w:space="0" w:color="auto"/>
        <w:bottom w:val="none" w:sz="0" w:space="0" w:color="auto"/>
        <w:right w:val="none" w:sz="0" w:space="0" w:color="auto"/>
      </w:divBdr>
    </w:div>
    <w:div w:id="981471950">
      <w:bodyDiv w:val="1"/>
      <w:marLeft w:val="0"/>
      <w:marRight w:val="0"/>
      <w:marTop w:val="0"/>
      <w:marBottom w:val="0"/>
      <w:divBdr>
        <w:top w:val="none" w:sz="0" w:space="0" w:color="auto"/>
        <w:left w:val="none" w:sz="0" w:space="0" w:color="auto"/>
        <w:bottom w:val="none" w:sz="0" w:space="0" w:color="auto"/>
        <w:right w:val="none" w:sz="0" w:space="0" w:color="auto"/>
      </w:divBdr>
    </w:div>
    <w:div w:id="1682509411">
      <w:bodyDiv w:val="1"/>
      <w:marLeft w:val="0"/>
      <w:marRight w:val="0"/>
      <w:marTop w:val="0"/>
      <w:marBottom w:val="0"/>
      <w:divBdr>
        <w:top w:val="none" w:sz="0" w:space="0" w:color="auto"/>
        <w:left w:val="none" w:sz="0" w:space="0" w:color="auto"/>
        <w:bottom w:val="none" w:sz="0" w:space="0" w:color="auto"/>
        <w:right w:val="none" w:sz="0" w:space="0" w:color="auto"/>
      </w:divBdr>
    </w:div>
    <w:div w:id="1836333300">
      <w:bodyDiv w:val="1"/>
      <w:marLeft w:val="0"/>
      <w:marRight w:val="0"/>
      <w:marTop w:val="0"/>
      <w:marBottom w:val="0"/>
      <w:divBdr>
        <w:top w:val="none" w:sz="0" w:space="0" w:color="auto"/>
        <w:left w:val="none" w:sz="0" w:space="0" w:color="auto"/>
        <w:bottom w:val="none" w:sz="0" w:space="0" w:color="auto"/>
        <w:right w:val="none" w:sz="0" w:space="0" w:color="auto"/>
      </w:divBdr>
      <w:divsChild>
        <w:div w:id="123354059">
          <w:marLeft w:val="0"/>
          <w:marRight w:val="0"/>
          <w:marTop w:val="0"/>
          <w:marBottom w:val="0"/>
          <w:divBdr>
            <w:top w:val="none" w:sz="0" w:space="0" w:color="auto"/>
            <w:left w:val="none" w:sz="0" w:space="0" w:color="auto"/>
            <w:bottom w:val="none" w:sz="0" w:space="0" w:color="auto"/>
            <w:right w:val="none" w:sz="0" w:space="0" w:color="auto"/>
          </w:divBdr>
          <w:divsChild>
            <w:div w:id="630138836">
              <w:marLeft w:val="0"/>
              <w:marRight w:val="0"/>
              <w:marTop w:val="0"/>
              <w:marBottom w:val="0"/>
              <w:divBdr>
                <w:top w:val="none" w:sz="0" w:space="0" w:color="auto"/>
                <w:left w:val="none" w:sz="0" w:space="0" w:color="auto"/>
                <w:bottom w:val="none" w:sz="0" w:space="0" w:color="auto"/>
                <w:right w:val="none" w:sz="0" w:space="0" w:color="auto"/>
              </w:divBdr>
              <w:divsChild>
                <w:div w:id="382408653">
                  <w:marLeft w:val="-15"/>
                  <w:marRight w:val="-15"/>
                  <w:marTop w:val="0"/>
                  <w:marBottom w:val="0"/>
                  <w:divBdr>
                    <w:top w:val="none" w:sz="0" w:space="0" w:color="auto"/>
                    <w:left w:val="none" w:sz="0" w:space="0" w:color="auto"/>
                    <w:bottom w:val="none" w:sz="0" w:space="0" w:color="auto"/>
                    <w:right w:val="none" w:sz="0" w:space="0" w:color="auto"/>
                  </w:divBdr>
                </w:div>
                <w:div w:id="7027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d/delta.asp" TargetMode="External" /><Relationship Id="rId13" Type="http://schemas.openxmlformats.org/officeDocument/2006/relationships/hyperlink" Target="https://www.investopedia.com/terms/i/inthemoney.asp"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investopedia.com/terms/o/option.asp" TargetMode="External" /><Relationship Id="rId12" Type="http://schemas.openxmlformats.org/officeDocument/2006/relationships/hyperlink" Target="https://www.investopedia.com/terms/h/hedgeratio.asp" TargetMode="External" /><Relationship Id="rId17" Type="http://schemas.openxmlformats.org/officeDocument/2006/relationships/hyperlink" Target="https://www.investopedia.com/terms/s/short.asp" TargetMode="External" /><Relationship Id="rId2" Type="http://schemas.openxmlformats.org/officeDocument/2006/relationships/styles" Target="styles.xml" /><Relationship Id="rId16" Type="http://schemas.openxmlformats.org/officeDocument/2006/relationships/hyperlink" Target="https://www.investopedia.com/terms/l/long.asp" TargetMode="External" /><Relationship Id="rId1" Type="http://schemas.openxmlformats.org/officeDocument/2006/relationships/numbering" Target="numbering.xml" /><Relationship Id="rId6" Type="http://schemas.openxmlformats.org/officeDocument/2006/relationships/hyperlink" Target="https://www.investopedia.com/terms/d/deltagamma-hedging.asp" TargetMode="External" /><Relationship Id="rId11" Type="http://schemas.openxmlformats.org/officeDocument/2006/relationships/hyperlink" Target="https://www.investopedia.com/terms/d/delta.asp" TargetMode="External" /><Relationship Id="rId5" Type="http://schemas.openxmlformats.org/officeDocument/2006/relationships/hyperlink" Target="https://www.investopedia.com/terms/h/hedge.asp" TargetMode="External" /><Relationship Id="rId15" Type="http://schemas.openxmlformats.org/officeDocument/2006/relationships/hyperlink" Target="https://www.investopedia.com/terms/o/outofthemoney.asp" TargetMode="External" /><Relationship Id="rId10" Type="http://schemas.openxmlformats.org/officeDocument/2006/relationships/hyperlink" Target="https://www.investopedia.com/terms/u/underlying-asset.asp"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investopedia.com/terms/g/gamma.asp" TargetMode="External" /><Relationship Id="rId14" Type="http://schemas.openxmlformats.org/officeDocument/2006/relationships/hyperlink" Target="https://www.investopedia.com/terms/a/atthemoney.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Madeeha Shaikh</dc:creator>
  <cp:keywords/>
  <dc:description/>
  <cp:lastModifiedBy>919967745772</cp:lastModifiedBy>
  <cp:revision>2</cp:revision>
  <dcterms:created xsi:type="dcterms:W3CDTF">2021-11-03T03:30:00Z</dcterms:created>
  <dcterms:modified xsi:type="dcterms:W3CDTF">2021-11-03T03:30:00Z</dcterms:modified>
</cp:coreProperties>
</file>