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76DEE" w14:textId="49295252" w:rsidR="007F1C72" w:rsidRPr="00464F72" w:rsidRDefault="00707C88" w:rsidP="00707C88">
      <w:pPr>
        <w:ind w:left="36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Q3</w:t>
      </w:r>
    </w:p>
    <w:p w14:paraId="54DB6C21" w14:textId="6639F442" w:rsidR="00A039A0" w:rsidRPr="00464F72" w:rsidRDefault="00A039A0" w:rsidP="00A039A0">
      <w:pPr>
        <w:pStyle w:val="ListParagraph"/>
        <w:numPr>
          <w:ilvl w:val="0"/>
          <w:numId w:val="3"/>
        </w:numPr>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Left Censoring</w:t>
      </w:r>
    </w:p>
    <w:p w14:paraId="12AF23F1"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Data in this study would be left censored if the censoring mechanism prevent us</w:t>
      </w:r>
    </w:p>
    <w:p w14:paraId="640289D3"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from knowing when the policyholder joined the company.</w:t>
      </w:r>
    </w:p>
    <w:p w14:paraId="585C6BC8" w14:textId="506E431C"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This is not present because the policy issue date is given.</w:t>
      </w:r>
    </w:p>
    <w:p w14:paraId="1D8F012C" w14:textId="2DE36BC0" w:rsidR="00A039A0" w:rsidRPr="00464F72" w:rsidRDefault="00A039A0" w:rsidP="00A039A0">
      <w:pPr>
        <w:pStyle w:val="ListParagraph"/>
        <w:numPr>
          <w:ilvl w:val="0"/>
          <w:numId w:val="3"/>
        </w:numPr>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Right Censoring</w:t>
      </w:r>
    </w:p>
    <w:p w14:paraId="5318BFCA"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Data would be right censored if the censoring mechanism cuts short observations in</w:t>
      </w:r>
    </w:p>
    <w:p w14:paraId="77828EA8"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progress, so that we are not able to discover if and when the policy is surrendered.</w:t>
      </w:r>
    </w:p>
    <w:p w14:paraId="66A7C0E9"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Data in this study would be right censored if the policy is terminated before the</w:t>
      </w:r>
    </w:p>
    <w:p w14:paraId="08A96951" w14:textId="46DDC23E"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maturity date for reasons than surrender.</w:t>
      </w:r>
    </w:p>
    <w:p w14:paraId="4471A974" w14:textId="06FCF426" w:rsidR="00A039A0" w:rsidRPr="00464F72" w:rsidRDefault="00A039A0" w:rsidP="00A039A0">
      <w:pPr>
        <w:pStyle w:val="ListParagraph"/>
        <w:numPr>
          <w:ilvl w:val="0"/>
          <w:numId w:val="3"/>
        </w:numPr>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Interval Censoring</w:t>
      </w:r>
    </w:p>
    <w:p w14:paraId="431CC276"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Data in this study would be interval censored if the observational plan only allows us</w:t>
      </w:r>
    </w:p>
    <w:p w14:paraId="415CEE8D"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to say that the duration of policy at the time of surrender fell within some interval of</w:t>
      </w:r>
    </w:p>
    <w:p w14:paraId="25386E37"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time.</w:t>
      </w:r>
    </w:p>
    <w:p w14:paraId="00E90967"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Here we know the calendar year of surrender and the policy issue date, so we will</w:t>
      </w:r>
    </w:p>
    <w:p w14:paraId="071A6A98"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know that the duration of the policy falls within one year rate interval. Interval</w:t>
      </w:r>
    </w:p>
    <w:p w14:paraId="312F0C47" w14:textId="6706203D"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censoring is present.</w:t>
      </w:r>
    </w:p>
    <w:p w14:paraId="710FAE85" w14:textId="2D130C4B" w:rsidR="00A039A0" w:rsidRPr="00464F72" w:rsidRDefault="00A039A0" w:rsidP="00A039A0">
      <w:pPr>
        <w:pStyle w:val="ListParagraph"/>
        <w:numPr>
          <w:ilvl w:val="0"/>
          <w:numId w:val="3"/>
        </w:numPr>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Informative Censoring</w:t>
      </w:r>
    </w:p>
    <w:p w14:paraId="79474191"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Censoring in this study would be informative if the censoring event divided</w:t>
      </w:r>
    </w:p>
    <w:p w14:paraId="3DAB42F9"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individuals into two groups whose subsequent experience was thought to be</w:t>
      </w:r>
    </w:p>
    <w:p w14:paraId="6E35287D"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different.</w:t>
      </w:r>
    </w:p>
    <w:p w14:paraId="085F420B"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Here the censoring event of surrendering the policy might be suspected to be</w:t>
      </w:r>
    </w:p>
    <w:p w14:paraId="49755293" w14:textId="77777777"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lastRenderedPageBreak/>
        <w:t>informative, as those who are likely to surrender the policy to be in better health</w:t>
      </w:r>
    </w:p>
    <w:p w14:paraId="4ECB5197" w14:textId="1A8D7531" w:rsidR="00A039A0" w:rsidRPr="00464F72" w:rsidRDefault="00A039A0" w:rsidP="00A039A0">
      <w:pPr>
        <w:pStyle w:val="ListParagraph"/>
        <w:ind w:left="1080"/>
        <w:rPr>
          <w:rFonts w:asciiTheme="majorHAnsi" w:eastAsiaTheme="minorEastAsia" w:hAnsiTheme="majorHAnsi" w:cstheme="majorHAnsi"/>
          <w:sz w:val="30"/>
          <w:szCs w:val="30"/>
          <w:lang w:val="en-US"/>
        </w:rPr>
      </w:pPr>
      <w:r w:rsidRPr="00464F72">
        <w:rPr>
          <w:rFonts w:asciiTheme="majorHAnsi" w:eastAsiaTheme="minorEastAsia" w:hAnsiTheme="majorHAnsi" w:cstheme="majorHAnsi"/>
          <w:sz w:val="30"/>
          <w:szCs w:val="30"/>
          <w:lang w:val="en-US"/>
        </w:rPr>
        <w:t>than those who do not surrender the policy.</w:t>
      </w:r>
    </w:p>
    <w:p w14:paraId="7B8C88B4" w14:textId="1F883CB6" w:rsidR="008C10B2" w:rsidRPr="00464F72" w:rsidRDefault="006F3A97" w:rsidP="006F3A97">
      <w:pPr>
        <w:ind w:left="36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Q8</w:t>
      </w:r>
    </w:p>
    <w:p w14:paraId="110395BD" w14:textId="197DE636" w:rsidR="008C10B2" w:rsidRPr="00464F72" w:rsidRDefault="008C10B2" w:rsidP="008C10B2">
      <w:pPr>
        <w:pStyle w:val="ListParagraph"/>
        <w:numPr>
          <w:ilvl w:val="0"/>
          <w:numId w:val="9"/>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Types of censoring presents:</w:t>
      </w:r>
    </w:p>
    <w:p w14:paraId="0DF5695B" w14:textId="5801CD3E" w:rsidR="008C10B2" w:rsidRPr="00464F72" w:rsidRDefault="008C10B2" w:rsidP="008C10B2">
      <w:pPr>
        <w:pStyle w:val="ListParagraph"/>
        <w:numPr>
          <w:ilvl w:val="0"/>
          <w:numId w:val="1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Type I censoring present because the study ends at a predetermined duration of 45 days.</w:t>
      </w:r>
    </w:p>
    <w:p w14:paraId="582B9CFD" w14:textId="266EF7A5" w:rsidR="008C10B2" w:rsidRPr="00464F72" w:rsidRDefault="008C10B2" w:rsidP="008C10B2">
      <w:pPr>
        <w:pStyle w:val="ListParagraph"/>
        <w:numPr>
          <w:ilvl w:val="0"/>
          <w:numId w:val="1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Type II censoring is not present because the study did not end after a predetermined number of patients had died.</w:t>
      </w:r>
    </w:p>
    <w:p w14:paraId="0A1F3934" w14:textId="30B73998" w:rsidR="008C10B2" w:rsidRPr="00464F72" w:rsidRDefault="008C10B2" w:rsidP="008C10B2">
      <w:pPr>
        <w:pStyle w:val="ListParagraph"/>
        <w:numPr>
          <w:ilvl w:val="0"/>
          <w:numId w:val="1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Random censoring is present because the duration at which a patient left hospital before the study ended can be considered as a random variable.</w:t>
      </w:r>
    </w:p>
    <w:p w14:paraId="00294F18" w14:textId="055EEFD0" w:rsidR="008C10B2" w:rsidRPr="00464F72" w:rsidRDefault="008C10B2" w:rsidP="008C10B2">
      <w:pPr>
        <w:pStyle w:val="ListParagraph"/>
        <w:numPr>
          <w:ilvl w:val="0"/>
          <w:numId w:val="1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Right Censoring is present for those lives that exit before the end of investigation period.</w:t>
      </w:r>
    </w:p>
    <w:p w14:paraId="2622AC32" w14:textId="2B62CC8D" w:rsidR="008C10B2" w:rsidRPr="00464F72" w:rsidRDefault="00F0719C" w:rsidP="008C10B2">
      <w:pPr>
        <w:pStyle w:val="ListParagraph"/>
        <w:numPr>
          <w:ilvl w:val="0"/>
          <w:numId w:val="9"/>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The censoring is likely to be informative.</w:t>
      </w:r>
    </w:p>
    <w:p w14:paraId="084E0695" w14:textId="4D69B4A4" w:rsidR="00F0719C" w:rsidRPr="00464F72" w:rsidRDefault="00F0719C" w:rsidP="00F0719C">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The patients who died were probably recovering less well that patient who discharged from the hospital.</w:t>
      </w:r>
    </w:p>
    <w:p w14:paraId="6B43D7DC" w14:textId="1C400939" w:rsidR="00F0719C" w:rsidRPr="00464F72" w:rsidRDefault="00F0719C" w:rsidP="00F0719C">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If they had not died, they would likely to remain in the hospital for longer than those who were not censored.</w:t>
      </w:r>
    </w:p>
    <w:p w14:paraId="5FAE9B3C" w14:textId="02A2EA30" w:rsidR="00F0719C" w:rsidRPr="00464F72" w:rsidRDefault="00F0719C" w:rsidP="00F0719C">
      <w:pPr>
        <w:pStyle w:val="ListParagraph"/>
        <w:numPr>
          <w:ilvl w:val="0"/>
          <w:numId w:val="9"/>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The Kaplan-Meier estimate of the survival function is estimated as follows:</w:t>
      </w:r>
    </w:p>
    <w:tbl>
      <w:tblPr>
        <w:tblStyle w:val="TableGrid"/>
        <w:tblW w:w="0" w:type="auto"/>
        <w:tblInd w:w="1440" w:type="dxa"/>
        <w:tblLook w:val="04A0" w:firstRow="1" w:lastRow="0" w:firstColumn="1" w:lastColumn="0" w:noHBand="0" w:noVBand="1"/>
      </w:tblPr>
      <w:tblGrid>
        <w:gridCol w:w="1058"/>
        <w:gridCol w:w="1058"/>
        <w:gridCol w:w="1031"/>
        <w:gridCol w:w="1030"/>
        <w:gridCol w:w="1151"/>
        <w:gridCol w:w="1151"/>
        <w:gridCol w:w="1097"/>
      </w:tblGrid>
      <w:tr w:rsidR="0090305C" w:rsidRPr="00464F72" w14:paraId="126A782F" w14:textId="77777777" w:rsidTr="0090305C">
        <w:tc>
          <w:tcPr>
            <w:tcW w:w="1058" w:type="dxa"/>
          </w:tcPr>
          <w:p w14:paraId="4C7CFE16" w14:textId="6BB0308A"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w:t>
            </w:r>
          </w:p>
        </w:tc>
        <w:tc>
          <w:tcPr>
            <w:tcW w:w="1058" w:type="dxa"/>
          </w:tcPr>
          <w:p w14:paraId="722C7FE9" w14:textId="0B37D45B"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n</w:t>
            </w:r>
          </w:p>
        </w:tc>
        <w:tc>
          <w:tcPr>
            <w:tcW w:w="1031" w:type="dxa"/>
          </w:tcPr>
          <w:p w14:paraId="3033F965" w14:textId="77DA57FC"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d</w:t>
            </w:r>
          </w:p>
        </w:tc>
        <w:tc>
          <w:tcPr>
            <w:tcW w:w="1030" w:type="dxa"/>
          </w:tcPr>
          <w:p w14:paraId="54F352F5" w14:textId="0E6E4FD8"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c</w:t>
            </w:r>
          </w:p>
        </w:tc>
        <w:tc>
          <w:tcPr>
            <w:tcW w:w="1151" w:type="dxa"/>
          </w:tcPr>
          <w:p w14:paraId="15C274D9" w14:textId="6048BCFF"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d/n</w:t>
            </w:r>
          </w:p>
        </w:tc>
        <w:tc>
          <w:tcPr>
            <w:tcW w:w="1151" w:type="dxa"/>
          </w:tcPr>
          <w:p w14:paraId="60095543" w14:textId="45E6ADF3"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(1-d/n)</w:t>
            </w:r>
          </w:p>
        </w:tc>
        <w:tc>
          <w:tcPr>
            <w:tcW w:w="1097" w:type="dxa"/>
          </w:tcPr>
          <w:p w14:paraId="6118E087" w14:textId="0506E5FF"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S(t)</w:t>
            </w:r>
          </w:p>
        </w:tc>
      </w:tr>
      <w:tr w:rsidR="0090305C" w:rsidRPr="00464F72" w14:paraId="062675AA" w14:textId="77777777" w:rsidTr="0090305C">
        <w:tc>
          <w:tcPr>
            <w:tcW w:w="1058" w:type="dxa"/>
          </w:tcPr>
          <w:p w14:paraId="19914E16" w14:textId="7275FA4C"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 xml:space="preserve">0 </w:t>
            </w:r>
          </w:p>
        </w:tc>
        <w:tc>
          <w:tcPr>
            <w:tcW w:w="1058" w:type="dxa"/>
          </w:tcPr>
          <w:p w14:paraId="766D5F81" w14:textId="0BFF2B94"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13</w:t>
            </w:r>
          </w:p>
        </w:tc>
        <w:tc>
          <w:tcPr>
            <w:tcW w:w="1031" w:type="dxa"/>
          </w:tcPr>
          <w:p w14:paraId="5CF5DCEF" w14:textId="77777777" w:rsidR="00F0719C" w:rsidRPr="00464F72" w:rsidRDefault="00F0719C" w:rsidP="00F0719C">
            <w:pPr>
              <w:pStyle w:val="ListParagraph"/>
              <w:ind w:left="0"/>
              <w:rPr>
                <w:rFonts w:asciiTheme="majorHAnsi" w:eastAsiaTheme="minorEastAsia" w:hAnsiTheme="majorHAnsi" w:cstheme="majorHAnsi"/>
                <w:sz w:val="30"/>
                <w:szCs w:val="30"/>
              </w:rPr>
            </w:pPr>
          </w:p>
        </w:tc>
        <w:tc>
          <w:tcPr>
            <w:tcW w:w="1030" w:type="dxa"/>
          </w:tcPr>
          <w:p w14:paraId="5F29AD71" w14:textId="77777777" w:rsidR="00F0719C" w:rsidRPr="00464F72" w:rsidRDefault="00F0719C" w:rsidP="00F0719C">
            <w:pPr>
              <w:pStyle w:val="ListParagraph"/>
              <w:ind w:left="0"/>
              <w:rPr>
                <w:rFonts w:asciiTheme="majorHAnsi" w:eastAsiaTheme="minorEastAsia" w:hAnsiTheme="majorHAnsi" w:cstheme="majorHAnsi"/>
                <w:sz w:val="30"/>
                <w:szCs w:val="30"/>
              </w:rPr>
            </w:pPr>
          </w:p>
        </w:tc>
        <w:tc>
          <w:tcPr>
            <w:tcW w:w="1151" w:type="dxa"/>
          </w:tcPr>
          <w:p w14:paraId="5CEFA21D" w14:textId="77777777" w:rsidR="00F0719C" w:rsidRPr="00464F72" w:rsidRDefault="00F0719C" w:rsidP="00F0719C">
            <w:pPr>
              <w:pStyle w:val="ListParagraph"/>
              <w:ind w:left="0"/>
              <w:rPr>
                <w:rFonts w:asciiTheme="majorHAnsi" w:eastAsiaTheme="minorEastAsia" w:hAnsiTheme="majorHAnsi" w:cstheme="majorHAnsi"/>
                <w:sz w:val="30"/>
                <w:szCs w:val="30"/>
              </w:rPr>
            </w:pPr>
          </w:p>
        </w:tc>
        <w:tc>
          <w:tcPr>
            <w:tcW w:w="1151" w:type="dxa"/>
          </w:tcPr>
          <w:p w14:paraId="702B191C" w14:textId="77777777" w:rsidR="00F0719C" w:rsidRPr="00464F72" w:rsidRDefault="00F0719C" w:rsidP="00F0719C">
            <w:pPr>
              <w:pStyle w:val="ListParagraph"/>
              <w:ind w:left="0"/>
              <w:rPr>
                <w:rFonts w:asciiTheme="majorHAnsi" w:eastAsiaTheme="minorEastAsia" w:hAnsiTheme="majorHAnsi" w:cstheme="majorHAnsi"/>
                <w:sz w:val="30"/>
                <w:szCs w:val="30"/>
              </w:rPr>
            </w:pPr>
          </w:p>
        </w:tc>
        <w:tc>
          <w:tcPr>
            <w:tcW w:w="1097" w:type="dxa"/>
          </w:tcPr>
          <w:p w14:paraId="406F3A90" w14:textId="77777777" w:rsidR="00F0719C" w:rsidRPr="00464F72" w:rsidRDefault="00F0719C" w:rsidP="00F0719C">
            <w:pPr>
              <w:pStyle w:val="ListParagraph"/>
              <w:ind w:left="0"/>
              <w:rPr>
                <w:rFonts w:asciiTheme="majorHAnsi" w:eastAsiaTheme="minorEastAsia" w:hAnsiTheme="majorHAnsi" w:cstheme="majorHAnsi"/>
                <w:sz w:val="30"/>
                <w:szCs w:val="30"/>
              </w:rPr>
            </w:pPr>
          </w:p>
        </w:tc>
      </w:tr>
      <w:tr w:rsidR="0090305C" w:rsidRPr="00464F72" w14:paraId="3C239942" w14:textId="77777777" w:rsidTr="0090305C">
        <w:tc>
          <w:tcPr>
            <w:tcW w:w="1058" w:type="dxa"/>
          </w:tcPr>
          <w:p w14:paraId="0C7CBBF3" w14:textId="57377753"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5</w:t>
            </w:r>
          </w:p>
        </w:tc>
        <w:tc>
          <w:tcPr>
            <w:tcW w:w="1058" w:type="dxa"/>
          </w:tcPr>
          <w:p w14:paraId="28430DCE" w14:textId="6B9CCA90"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13</w:t>
            </w:r>
          </w:p>
        </w:tc>
        <w:tc>
          <w:tcPr>
            <w:tcW w:w="1031" w:type="dxa"/>
          </w:tcPr>
          <w:p w14:paraId="2F7557FA" w14:textId="558E4634"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w:t>
            </w:r>
          </w:p>
        </w:tc>
        <w:tc>
          <w:tcPr>
            <w:tcW w:w="1030" w:type="dxa"/>
          </w:tcPr>
          <w:p w14:paraId="43BCD7E1" w14:textId="2C948830"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w:t>
            </w:r>
          </w:p>
        </w:tc>
        <w:tc>
          <w:tcPr>
            <w:tcW w:w="1151" w:type="dxa"/>
          </w:tcPr>
          <w:p w14:paraId="3EB2A635" w14:textId="573C9E3C"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0.0769</w:t>
            </w:r>
          </w:p>
        </w:tc>
        <w:tc>
          <w:tcPr>
            <w:tcW w:w="1151" w:type="dxa"/>
          </w:tcPr>
          <w:p w14:paraId="669F266E" w14:textId="652BDC1E"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0.9231</w:t>
            </w:r>
          </w:p>
        </w:tc>
        <w:tc>
          <w:tcPr>
            <w:tcW w:w="1097" w:type="dxa"/>
          </w:tcPr>
          <w:p w14:paraId="02922860" w14:textId="045907FA"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0.92</w:t>
            </w:r>
          </w:p>
        </w:tc>
      </w:tr>
      <w:tr w:rsidR="0090305C" w:rsidRPr="00464F72" w14:paraId="45BA5B58" w14:textId="77777777" w:rsidTr="0090305C">
        <w:tc>
          <w:tcPr>
            <w:tcW w:w="1058" w:type="dxa"/>
          </w:tcPr>
          <w:p w14:paraId="3CBB3D2A" w14:textId="7913E4AE"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7</w:t>
            </w:r>
          </w:p>
        </w:tc>
        <w:tc>
          <w:tcPr>
            <w:tcW w:w="1058" w:type="dxa"/>
          </w:tcPr>
          <w:p w14:paraId="762649F9" w14:textId="3B42F6A3"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12</w:t>
            </w:r>
          </w:p>
        </w:tc>
        <w:tc>
          <w:tcPr>
            <w:tcW w:w="1031" w:type="dxa"/>
          </w:tcPr>
          <w:p w14:paraId="35F0CDDE" w14:textId="4E281A5F"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w:t>
            </w:r>
          </w:p>
        </w:tc>
        <w:tc>
          <w:tcPr>
            <w:tcW w:w="1030" w:type="dxa"/>
          </w:tcPr>
          <w:p w14:paraId="72169397" w14:textId="6F8D85DF"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w:t>
            </w:r>
          </w:p>
        </w:tc>
        <w:tc>
          <w:tcPr>
            <w:tcW w:w="1151" w:type="dxa"/>
          </w:tcPr>
          <w:p w14:paraId="6728EECE" w14:textId="4059442F"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0.0833</w:t>
            </w:r>
          </w:p>
        </w:tc>
        <w:tc>
          <w:tcPr>
            <w:tcW w:w="1151" w:type="dxa"/>
          </w:tcPr>
          <w:p w14:paraId="285E44DB" w14:textId="0601CF9D"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0.9167</w:t>
            </w:r>
          </w:p>
        </w:tc>
        <w:tc>
          <w:tcPr>
            <w:tcW w:w="1097" w:type="dxa"/>
          </w:tcPr>
          <w:p w14:paraId="43844E3D" w14:textId="086973CD"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0.85</w:t>
            </w:r>
          </w:p>
        </w:tc>
      </w:tr>
      <w:tr w:rsidR="0090305C" w:rsidRPr="00464F72" w14:paraId="06A9909E" w14:textId="77777777" w:rsidTr="0090305C">
        <w:tc>
          <w:tcPr>
            <w:tcW w:w="1058" w:type="dxa"/>
          </w:tcPr>
          <w:p w14:paraId="194F0900" w14:textId="1E88FC7C"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14</w:t>
            </w:r>
          </w:p>
        </w:tc>
        <w:tc>
          <w:tcPr>
            <w:tcW w:w="1058" w:type="dxa"/>
          </w:tcPr>
          <w:p w14:paraId="08190A2A" w14:textId="7DAEA5C9"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11</w:t>
            </w:r>
          </w:p>
        </w:tc>
        <w:tc>
          <w:tcPr>
            <w:tcW w:w="1031" w:type="dxa"/>
          </w:tcPr>
          <w:p w14:paraId="43A79379" w14:textId="73889469"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w:t>
            </w:r>
          </w:p>
        </w:tc>
        <w:tc>
          <w:tcPr>
            <w:tcW w:w="1030" w:type="dxa"/>
          </w:tcPr>
          <w:p w14:paraId="0ED154DD" w14:textId="680C0AD5"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2</w:t>
            </w:r>
          </w:p>
        </w:tc>
        <w:tc>
          <w:tcPr>
            <w:tcW w:w="1151" w:type="dxa"/>
          </w:tcPr>
          <w:p w14:paraId="0FB155D7" w14:textId="3BF897CD"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0.0909</w:t>
            </w:r>
          </w:p>
        </w:tc>
        <w:tc>
          <w:tcPr>
            <w:tcW w:w="1151" w:type="dxa"/>
          </w:tcPr>
          <w:p w14:paraId="2136CB62" w14:textId="55064824"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0.9091</w:t>
            </w:r>
          </w:p>
        </w:tc>
        <w:tc>
          <w:tcPr>
            <w:tcW w:w="1097" w:type="dxa"/>
          </w:tcPr>
          <w:p w14:paraId="4E2543DF" w14:textId="73D0FBB5"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0.77</w:t>
            </w:r>
          </w:p>
        </w:tc>
      </w:tr>
      <w:tr w:rsidR="0090305C" w:rsidRPr="00464F72" w14:paraId="0893F2BA" w14:textId="77777777" w:rsidTr="0090305C">
        <w:tc>
          <w:tcPr>
            <w:tcW w:w="1058" w:type="dxa"/>
          </w:tcPr>
          <w:p w14:paraId="321D9F44" w14:textId="3C5A2CBD"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28</w:t>
            </w:r>
          </w:p>
        </w:tc>
        <w:tc>
          <w:tcPr>
            <w:tcW w:w="1058" w:type="dxa"/>
          </w:tcPr>
          <w:p w14:paraId="3573D170" w14:textId="301B0C67"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8</w:t>
            </w:r>
          </w:p>
        </w:tc>
        <w:tc>
          <w:tcPr>
            <w:tcW w:w="1031" w:type="dxa"/>
          </w:tcPr>
          <w:p w14:paraId="37369872" w14:textId="59B2818B"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w:t>
            </w:r>
          </w:p>
        </w:tc>
        <w:tc>
          <w:tcPr>
            <w:tcW w:w="1030" w:type="dxa"/>
          </w:tcPr>
          <w:p w14:paraId="44831053" w14:textId="29ACAC8B"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2</w:t>
            </w:r>
          </w:p>
        </w:tc>
        <w:tc>
          <w:tcPr>
            <w:tcW w:w="1151" w:type="dxa"/>
          </w:tcPr>
          <w:p w14:paraId="731621DB" w14:textId="686CAE34"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0.1250</w:t>
            </w:r>
          </w:p>
        </w:tc>
        <w:tc>
          <w:tcPr>
            <w:tcW w:w="1151" w:type="dxa"/>
          </w:tcPr>
          <w:p w14:paraId="331DC95E" w14:textId="15DFE318"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0.8750</w:t>
            </w:r>
          </w:p>
        </w:tc>
        <w:tc>
          <w:tcPr>
            <w:tcW w:w="1097" w:type="dxa"/>
          </w:tcPr>
          <w:p w14:paraId="18C2E9E7" w14:textId="5C6D8E8B"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0.67</w:t>
            </w:r>
          </w:p>
        </w:tc>
      </w:tr>
      <w:tr w:rsidR="0090305C" w:rsidRPr="00464F72" w14:paraId="59D72419" w14:textId="77777777" w:rsidTr="0090305C">
        <w:tc>
          <w:tcPr>
            <w:tcW w:w="1058" w:type="dxa"/>
          </w:tcPr>
          <w:p w14:paraId="2ED378B4" w14:textId="5B61D0A6"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35</w:t>
            </w:r>
          </w:p>
        </w:tc>
        <w:tc>
          <w:tcPr>
            <w:tcW w:w="1058" w:type="dxa"/>
          </w:tcPr>
          <w:p w14:paraId="01CA4E89" w14:textId="18B792FA"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5</w:t>
            </w:r>
          </w:p>
        </w:tc>
        <w:tc>
          <w:tcPr>
            <w:tcW w:w="1031" w:type="dxa"/>
          </w:tcPr>
          <w:p w14:paraId="493399A3" w14:textId="3020A603"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1</w:t>
            </w:r>
          </w:p>
        </w:tc>
        <w:tc>
          <w:tcPr>
            <w:tcW w:w="1030" w:type="dxa"/>
          </w:tcPr>
          <w:p w14:paraId="5B99E113" w14:textId="3108759B" w:rsidR="00F0719C" w:rsidRPr="00464F72" w:rsidRDefault="00F0719C" w:rsidP="00F0719C">
            <w:pPr>
              <w:pStyle w:val="ListParagraph"/>
              <w:ind w:left="0"/>
              <w:rPr>
                <w:rFonts w:asciiTheme="majorHAnsi" w:eastAsiaTheme="minorEastAsia" w:hAnsiTheme="majorHAnsi" w:cstheme="majorHAnsi"/>
                <w:sz w:val="30"/>
                <w:szCs w:val="30"/>
              </w:rPr>
            </w:pPr>
          </w:p>
        </w:tc>
        <w:tc>
          <w:tcPr>
            <w:tcW w:w="1151" w:type="dxa"/>
          </w:tcPr>
          <w:p w14:paraId="395C8519" w14:textId="62D82A98"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0.2000</w:t>
            </w:r>
          </w:p>
        </w:tc>
        <w:tc>
          <w:tcPr>
            <w:tcW w:w="1151" w:type="dxa"/>
          </w:tcPr>
          <w:p w14:paraId="2D6AD8D7" w14:textId="61B8B3E8"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0.8000</w:t>
            </w:r>
          </w:p>
        </w:tc>
        <w:tc>
          <w:tcPr>
            <w:tcW w:w="1097" w:type="dxa"/>
          </w:tcPr>
          <w:p w14:paraId="770D71E4" w14:textId="02F47639" w:rsidR="00F0719C" w:rsidRPr="00464F72" w:rsidRDefault="0090305C" w:rsidP="00F0719C">
            <w:pPr>
              <w:pStyle w:val="ListParagraph"/>
              <w:ind w:left="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0.54</w:t>
            </w:r>
          </w:p>
        </w:tc>
      </w:tr>
    </w:tbl>
    <w:p w14:paraId="3EFEEA36" w14:textId="1F8AF9F8" w:rsidR="00F0719C" w:rsidRPr="00464F72" w:rsidRDefault="0090305C" w:rsidP="00F0719C">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So, the value survival function at end of investigation period is 0.54</w:t>
      </w:r>
    </w:p>
    <w:p w14:paraId="0CB70996" w14:textId="31A47197" w:rsidR="0090305C" w:rsidRPr="00464F72" w:rsidRDefault="0090305C" w:rsidP="00F0719C">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Assumptions:</w:t>
      </w:r>
    </w:p>
    <w:p w14:paraId="0ACE759A" w14:textId="2DA41041" w:rsidR="0090305C" w:rsidRPr="00464F72" w:rsidRDefault="0090305C" w:rsidP="0090305C">
      <w:pPr>
        <w:pStyle w:val="ListParagraph"/>
        <w:numPr>
          <w:ilvl w:val="0"/>
          <w:numId w:val="11"/>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The censoring happens just after the death.</w:t>
      </w:r>
    </w:p>
    <w:p w14:paraId="2D82462D" w14:textId="0A105626" w:rsidR="0090305C" w:rsidRPr="00464F72" w:rsidRDefault="0090305C" w:rsidP="0090305C">
      <w:pPr>
        <w:pStyle w:val="ListParagraph"/>
        <w:numPr>
          <w:ilvl w:val="0"/>
          <w:numId w:val="11"/>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lastRenderedPageBreak/>
        <w:t>Ignoring the discharge on any other ground except recovery from illness.</w:t>
      </w:r>
    </w:p>
    <w:p w14:paraId="14118208" w14:textId="0A5856A9" w:rsidR="0090305C" w:rsidRPr="00464F72" w:rsidRDefault="0090305C" w:rsidP="0090305C">
      <w:pPr>
        <w:pStyle w:val="ListParagraph"/>
        <w:numPr>
          <w:ilvl w:val="0"/>
          <w:numId w:val="11"/>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Ignore any admission period before the start of investigation.</w:t>
      </w:r>
    </w:p>
    <w:p w14:paraId="7A014B03" w14:textId="340CE17E" w:rsidR="0090305C" w:rsidRPr="00464F72" w:rsidRDefault="0090305C" w:rsidP="0090305C">
      <w:pPr>
        <w:pStyle w:val="ListParagraph"/>
        <w:numPr>
          <w:ilvl w:val="0"/>
          <w:numId w:val="9"/>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Comments:</w:t>
      </w:r>
    </w:p>
    <w:p w14:paraId="7C550D8B" w14:textId="2279DCD5"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The survival of a patient from the infection who given treatment is around 50% in light of the answer in c) above.</w:t>
      </w:r>
    </w:p>
    <w:p w14:paraId="163BD55E" w14:textId="7AD919AD"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However, the hospital excluded the number of deaths who died within two weeks of observation period.</w:t>
      </w:r>
    </w:p>
    <w:p w14:paraId="1075436E" w14:textId="231C54F5"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It also ignores the admission pre investigation period</w:t>
      </w:r>
    </w:p>
    <w:p w14:paraId="7DA882FD" w14:textId="79EB2C86"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It is assuming that the censored patient at the end of investigation will survive for sure.</w:t>
      </w:r>
    </w:p>
    <w:p w14:paraId="174FC3D8" w14:textId="6BD88385"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Also ignoring the patients being discharged on any other ground like shifting to another hospital etc.</w:t>
      </w:r>
    </w:p>
    <w:p w14:paraId="5A1A6D29" w14:textId="66383309"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It claims that 8 out of 10 patients who responded the treatment beyond two weeks would survive.</w:t>
      </w:r>
    </w:p>
    <w:p w14:paraId="6D337503" w14:textId="7A579FDC" w:rsidR="0090305C" w:rsidRPr="00464F72" w:rsidRDefault="0090305C" w:rsidP="0090305C">
      <w:pPr>
        <w:pStyle w:val="ListParagraph"/>
        <w:numPr>
          <w:ilvl w:val="0"/>
          <w:numId w:val="13"/>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So, the claims have to be viewed with respect to above considerations.</w:t>
      </w:r>
    </w:p>
    <w:p w14:paraId="4C39A89C" w14:textId="6AC434E9" w:rsidR="008D6435" w:rsidRPr="00464F72" w:rsidRDefault="006F3A97" w:rsidP="006F3A97">
      <w:pPr>
        <w:ind w:left="36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Q15</w:t>
      </w:r>
      <w:r w:rsidR="008D6435" w:rsidRPr="00464F72">
        <w:rPr>
          <w:rFonts w:asciiTheme="majorHAnsi" w:eastAsiaTheme="minorEastAsia" w:hAnsiTheme="majorHAnsi" w:cstheme="majorHAnsi"/>
          <w:sz w:val="30"/>
          <w:szCs w:val="30"/>
        </w:rPr>
        <w:t xml:space="preserve"> </w:t>
      </w:r>
    </w:p>
    <w:p w14:paraId="35681786" w14:textId="65B7A018" w:rsidR="008D6435" w:rsidRPr="00464F72" w:rsidRDefault="008D6435" w:rsidP="008D6435">
      <w:pPr>
        <w:pStyle w:val="ListParagraph"/>
        <w:numPr>
          <w:ilvl w:val="0"/>
          <w:numId w:val="2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Two advantages of central exposed to risk over initial exposed to risk are:</w:t>
      </w:r>
    </w:p>
    <w:p w14:paraId="50859A46" w14:textId="727EE3A3" w:rsidR="008D6435" w:rsidRPr="00464F72" w:rsidRDefault="008D6435" w:rsidP="008D6435">
      <w:pPr>
        <w:pStyle w:val="ListParagraph"/>
        <w:numPr>
          <w:ilvl w:val="0"/>
          <w:numId w:val="21"/>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The central exposed to risk is simpler to calculate from the data typically available compared to the initial exposed to risk. Moreover, central exposed to risk has an intuitive appeal as the total observed waiting time and is easier to understand than the initial exposed to risk.</w:t>
      </w:r>
    </w:p>
    <w:p w14:paraId="08EFDDD4" w14:textId="7DF8990A" w:rsidR="008D6435" w:rsidRPr="00464F72" w:rsidRDefault="008D6435" w:rsidP="008D6435">
      <w:pPr>
        <w:pStyle w:val="ListParagraph"/>
        <w:numPr>
          <w:ilvl w:val="0"/>
          <w:numId w:val="21"/>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It is difficult to interpret initial exposed to risk in terms of the underlying process being modelled if the number of decrements under study increase or the situations become more elaborate. On the contrary, the central exposed to risk is more versatile and it is easy to extend the concept of central exposed to risk to cover more elaborate situations.</w:t>
      </w:r>
    </w:p>
    <w:p w14:paraId="45141762" w14:textId="758086DD" w:rsidR="008D6435" w:rsidRPr="00464F72" w:rsidRDefault="008D6435" w:rsidP="008D6435">
      <w:pPr>
        <w:pStyle w:val="ListParagraph"/>
        <w:numPr>
          <w:ilvl w:val="0"/>
          <w:numId w:val="2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Calculation of exposed to risk:</w:t>
      </w:r>
    </w:p>
    <w:p w14:paraId="5EC2AFCA" w14:textId="6B63CB57"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lastRenderedPageBreak/>
        <w:t>Rita</w:t>
      </w:r>
    </w:p>
    <w:p w14:paraId="2D41AA33" w14:textId="2130D059"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Rita turned 30 on 1 October 2009, when she was already married. She died on 1 January 2010, 3 months after her 30th birthday.</w:t>
      </w:r>
    </w:p>
    <w:p w14:paraId="4B2B33A1" w14:textId="708EBE77"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Thus, Rita’s contribution to central exposed to risk = 3 months</w:t>
      </w:r>
    </w:p>
    <w:p w14:paraId="6E7CB5C6" w14:textId="2F2DDA29"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And contribution to initial exposed to risk = 1 year</w:t>
      </w:r>
    </w:p>
    <w:p w14:paraId="0D172559" w14:textId="62AE6945"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Sita</w:t>
      </w:r>
    </w:p>
    <w:p w14:paraId="1EC6474C" w14:textId="7EB26BAA"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Sita turned 30 on 1 September 2011, when she was already married. Time spent under investigation, aged 30 last birthdays by Sita was 1 September 2011 – 31 August 2012.</w:t>
      </w:r>
    </w:p>
    <w:p w14:paraId="58097320" w14:textId="490A67D0"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Thus, Sita’s contribution to both central and initial exposed to risk is 1 year.</w:t>
      </w:r>
    </w:p>
    <w:p w14:paraId="2F3D720D" w14:textId="7D94684C"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Nita</w:t>
      </w:r>
    </w:p>
    <w:p w14:paraId="1AB3B5EF" w14:textId="21A34BCE"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Nita turned 30 on 1 December 2009 and married 2 months later. Therefore, she joined the investigation of married women on 1 February 2010. She divorced 9 months later, when she would be censored from the investigation of married women.</w:t>
      </w:r>
    </w:p>
    <w:p w14:paraId="417235B4" w14:textId="57AF7955"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Thus, Nita’s contribution to both central and initial exposed to risk is 9 months.</w:t>
      </w:r>
    </w:p>
    <w:p w14:paraId="01CE9949" w14:textId="444322BD"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Gita</w:t>
      </w:r>
    </w:p>
    <w:p w14:paraId="772C763B" w14:textId="1E6CAAB9"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Gita got married on 1 June 2011, at which time she was already past her 31</w:t>
      </w:r>
      <w:r w:rsidRPr="00464F72">
        <w:rPr>
          <w:rFonts w:asciiTheme="majorHAnsi" w:eastAsiaTheme="minorEastAsia" w:hAnsiTheme="majorHAnsi" w:cstheme="majorHAnsi"/>
          <w:sz w:val="30"/>
          <w:szCs w:val="30"/>
          <w:vertAlign w:val="superscript"/>
        </w:rPr>
        <w:t>st</w:t>
      </w:r>
      <w:r w:rsidRPr="00464F72">
        <w:rPr>
          <w:rFonts w:asciiTheme="majorHAnsi" w:eastAsiaTheme="minorEastAsia" w:hAnsiTheme="majorHAnsi" w:cstheme="majorHAnsi"/>
          <w:sz w:val="30"/>
          <w:szCs w:val="30"/>
        </w:rPr>
        <w:t xml:space="preserve"> birthday. Therefore, she has spent no time during the investigation period as a married woman at age 30 last birthday.</w:t>
      </w:r>
    </w:p>
    <w:p w14:paraId="5E9887B2" w14:textId="7FC0B662"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Thus, her contribution to both central and initial exposed to risk is nil.</w:t>
      </w:r>
    </w:p>
    <w:p w14:paraId="60971AA6" w14:textId="67337B31" w:rsidR="00987F01" w:rsidRPr="00464F72" w:rsidRDefault="008D6435" w:rsidP="008D6435">
      <w:pPr>
        <w:pStyle w:val="ListParagraph"/>
        <w:numPr>
          <w:ilvl w:val="0"/>
          <w:numId w:val="20"/>
        </w:numPr>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Total exposed to risk:</w:t>
      </w:r>
    </w:p>
    <w:p w14:paraId="7B05DC79" w14:textId="77777777"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Hence, total exposed to risk is:</w:t>
      </w:r>
    </w:p>
    <w:p w14:paraId="2AE80DC9" w14:textId="77777777"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Central exposed to risk = 0.25 + 1 + 0.75 + 0 = 2 years.</w:t>
      </w:r>
    </w:p>
    <w:p w14:paraId="3D09F459" w14:textId="0EB89E5B" w:rsidR="008D6435" w:rsidRPr="00464F72" w:rsidRDefault="008D6435" w:rsidP="008D6435">
      <w:pPr>
        <w:pStyle w:val="ListParagraph"/>
        <w:ind w:left="1440"/>
        <w:rPr>
          <w:rFonts w:asciiTheme="majorHAnsi" w:eastAsiaTheme="minorEastAsia" w:hAnsiTheme="majorHAnsi" w:cstheme="majorHAnsi"/>
          <w:sz w:val="30"/>
          <w:szCs w:val="30"/>
        </w:rPr>
      </w:pPr>
      <w:r w:rsidRPr="00464F72">
        <w:rPr>
          <w:rFonts w:asciiTheme="majorHAnsi" w:eastAsiaTheme="minorEastAsia" w:hAnsiTheme="majorHAnsi" w:cstheme="majorHAnsi"/>
          <w:sz w:val="30"/>
          <w:szCs w:val="30"/>
        </w:rPr>
        <w:t>Initial exposed to risk = 1 + 1 + 0.75 + 0 = 2.75 years</w:t>
      </w:r>
    </w:p>
    <w:p w14:paraId="5B9FCD2B" w14:textId="4ECB12C5" w:rsidR="008D6435" w:rsidRPr="00C21983" w:rsidRDefault="008D6435" w:rsidP="008D6435">
      <w:pPr>
        <w:pStyle w:val="ListParagraph"/>
        <w:ind w:left="1440"/>
        <w:rPr>
          <w:rFonts w:ascii="Comic Sans MS" w:eastAsiaTheme="minorEastAsia" w:hAnsi="Comic Sans MS"/>
          <w:sz w:val="25"/>
          <w:szCs w:val="25"/>
        </w:rPr>
      </w:pPr>
      <w:r w:rsidRPr="00464F72">
        <w:rPr>
          <w:rFonts w:asciiTheme="majorHAnsi" w:eastAsiaTheme="minorEastAsia" w:hAnsiTheme="majorHAnsi" w:cstheme="majorHAnsi"/>
          <w:sz w:val="30"/>
          <w:szCs w:val="30"/>
        </w:rPr>
        <w:t xml:space="preserve">From the results above, it can be seen that the central exposed to risk is 2 years and the initial exposed to risk is 2.75 years. The approximation would suggest that the initial exposed to risk should be 2.5 years. However, this is not a </w:t>
      </w:r>
      <w:r w:rsidRPr="00464F72">
        <w:rPr>
          <w:rFonts w:asciiTheme="majorHAnsi" w:eastAsiaTheme="minorEastAsia" w:hAnsiTheme="majorHAnsi" w:cstheme="majorHAnsi"/>
          <w:sz w:val="30"/>
          <w:szCs w:val="30"/>
        </w:rPr>
        <w:lastRenderedPageBreak/>
        <w:t>good approximation for the data provided as the approximation is based on the assumption that deaths would be evenly spread and thus can be assumed to occur half way through the year, on average. This also relies on an implicit assumption of a reasonably large data set. In the data above, there were only 4 lives, which is not statistically significant. Moreover, there was only one death, which occurred 3 months after the 30thbirthday. As a result of the statistical sparseness in the data, the approximation is seen not to work very well</w:t>
      </w:r>
      <w:r w:rsidRPr="00C21983">
        <w:rPr>
          <w:rFonts w:ascii="Comic Sans MS" w:eastAsiaTheme="minorEastAsia" w:hAnsi="Comic Sans MS"/>
          <w:sz w:val="25"/>
          <w:szCs w:val="25"/>
        </w:rPr>
        <w:t>.</w:t>
      </w:r>
    </w:p>
    <w:p w14:paraId="6A932991" w14:textId="18063A00" w:rsidR="00987F01" w:rsidRDefault="00987F01" w:rsidP="00987F01">
      <w:pPr>
        <w:pStyle w:val="ListParagraph"/>
        <w:ind w:left="1440"/>
        <w:rPr>
          <w:rFonts w:ascii="Comic Sans MS" w:eastAsiaTheme="minorEastAsia" w:hAnsi="Comic Sans MS"/>
          <w:sz w:val="25"/>
          <w:szCs w:val="25"/>
        </w:rPr>
      </w:pPr>
    </w:p>
    <w:p w14:paraId="41EBD476" w14:textId="0F429121" w:rsidR="00464F72" w:rsidRDefault="00464F72" w:rsidP="00987F01">
      <w:pPr>
        <w:pStyle w:val="ListParagraph"/>
        <w:ind w:left="1440"/>
        <w:rPr>
          <w:rFonts w:ascii="Comic Sans MS" w:eastAsiaTheme="minorEastAsia" w:hAnsi="Comic Sans MS"/>
          <w:sz w:val="25"/>
          <w:szCs w:val="25"/>
        </w:rPr>
      </w:pPr>
    </w:p>
    <w:p w14:paraId="07C665CD" w14:textId="613C0F89" w:rsidR="00464F72" w:rsidRDefault="00464F72" w:rsidP="00987F01">
      <w:pPr>
        <w:pStyle w:val="ListParagraph"/>
        <w:ind w:left="1440"/>
        <w:rPr>
          <w:rFonts w:ascii="Comic Sans MS" w:eastAsiaTheme="minorEastAsia" w:hAnsi="Comic Sans MS"/>
          <w:sz w:val="25"/>
          <w:szCs w:val="25"/>
        </w:rPr>
      </w:pPr>
    </w:p>
    <w:p w14:paraId="582CDF19" w14:textId="4C77A43D" w:rsidR="00464F72" w:rsidRDefault="00464F72" w:rsidP="00987F01">
      <w:pPr>
        <w:pStyle w:val="ListParagraph"/>
        <w:ind w:left="1440"/>
        <w:rPr>
          <w:rFonts w:ascii="Comic Sans MS" w:eastAsiaTheme="minorEastAsia" w:hAnsi="Comic Sans MS"/>
          <w:sz w:val="25"/>
          <w:szCs w:val="25"/>
        </w:rPr>
      </w:pPr>
    </w:p>
    <w:p w14:paraId="24E4900E" w14:textId="645AB6A2" w:rsidR="00464F72" w:rsidRPr="00464F72" w:rsidRDefault="00464F72" w:rsidP="00464F72">
      <w:pPr>
        <w:rPr>
          <w:rFonts w:ascii="Comic Sans MS" w:eastAsiaTheme="minorEastAsia" w:hAnsi="Comic Sans MS"/>
          <w:sz w:val="25"/>
          <w:szCs w:val="25"/>
        </w:rPr>
      </w:pPr>
      <w:r w:rsidRPr="00464F72">
        <w:rPr>
          <w:rFonts w:ascii="Comic Sans MS" w:eastAsiaTheme="minorEastAsia" w:hAnsi="Comic Sans MS"/>
          <w:noProof/>
          <w:sz w:val="25"/>
          <w:szCs w:val="25"/>
        </w:rPr>
        <w:lastRenderedPageBreak/>
        <w:drawing>
          <wp:inline distT="0" distB="0" distL="0" distR="0" wp14:anchorId="67DEFD97" wp14:editId="140D7C00">
            <wp:extent cx="5731510" cy="71647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70B36531" wp14:editId="2C2E6457">
            <wp:extent cx="5731510" cy="75838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58380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2D3DF2C0" wp14:editId="77213466">
            <wp:extent cx="5731510" cy="79571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95718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3C968398" wp14:editId="3953BAF6">
            <wp:extent cx="5731510" cy="86785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67854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754341DF" wp14:editId="6B1331D4">
            <wp:extent cx="5731510" cy="7804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80478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3042F82E" wp14:editId="344855E6">
            <wp:extent cx="5731510" cy="76581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58100"/>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1437D368" wp14:editId="04F78758">
            <wp:extent cx="5731510" cy="78886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88860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3CB5F654" wp14:editId="281D1A57">
            <wp:extent cx="5731510" cy="79400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940040"/>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2BB7BB2D" wp14:editId="53649871">
            <wp:extent cx="5731510" cy="80264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026400"/>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42946BD7" wp14:editId="7AAFA029">
            <wp:extent cx="5731510" cy="75787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57872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52F9DD50" wp14:editId="3597511C">
            <wp:extent cx="5731510" cy="77444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744460"/>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56AC2778" wp14:editId="01979B8A">
            <wp:extent cx="5731510" cy="77933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79335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25730588" wp14:editId="4F36CC2A">
            <wp:extent cx="5731510" cy="78771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87717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48A7EB34" wp14:editId="7DF3E998">
            <wp:extent cx="5731510" cy="78378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83780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6CF6F797" wp14:editId="7A09990D">
            <wp:extent cx="5731510" cy="78047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804785"/>
                    </a:xfrm>
                    <a:prstGeom prst="rect">
                      <a:avLst/>
                    </a:prstGeom>
                    <a:noFill/>
                    <a:ln>
                      <a:noFill/>
                    </a:ln>
                  </pic:spPr>
                </pic:pic>
              </a:graphicData>
            </a:graphic>
          </wp:inline>
        </w:drawing>
      </w:r>
      <w:r w:rsidRPr="00464F72">
        <w:rPr>
          <w:rFonts w:ascii="Comic Sans MS" w:eastAsiaTheme="minorEastAsia" w:hAnsi="Comic Sans MS"/>
          <w:noProof/>
          <w:sz w:val="25"/>
          <w:szCs w:val="25"/>
        </w:rPr>
        <w:lastRenderedPageBreak/>
        <w:drawing>
          <wp:inline distT="0" distB="0" distL="0" distR="0" wp14:anchorId="5985438E" wp14:editId="13FFBC7D">
            <wp:extent cx="5731510" cy="78047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804785"/>
                    </a:xfrm>
                    <a:prstGeom prst="rect">
                      <a:avLst/>
                    </a:prstGeom>
                    <a:noFill/>
                    <a:ln>
                      <a:noFill/>
                    </a:ln>
                  </pic:spPr>
                </pic:pic>
              </a:graphicData>
            </a:graphic>
          </wp:inline>
        </w:drawing>
      </w:r>
    </w:p>
    <w:p w14:paraId="23FBA33F" w14:textId="77777777" w:rsidR="00746A83" w:rsidRPr="00C21983" w:rsidRDefault="00746A83" w:rsidP="00746A83">
      <w:pPr>
        <w:pStyle w:val="ListParagraph"/>
        <w:ind w:left="1440"/>
        <w:rPr>
          <w:rFonts w:ascii="Comic Sans MS" w:eastAsiaTheme="minorEastAsia" w:hAnsi="Comic Sans MS"/>
          <w:sz w:val="25"/>
          <w:szCs w:val="25"/>
        </w:rPr>
      </w:pPr>
    </w:p>
    <w:p w14:paraId="39F9B612" w14:textId="77777777" w:rsidR="00746A83" w:rsidRPr="00C21983" w:rsidRDefault="00746A83" w:rsidP="00746A83">
      <w:pPr>
        <w:pStyle w:val="ListParagraph"/>
        <w:ind w:left="1440"/>
        <w:rPr>
          <w:rFonts w:ascii="Comic Sans MS" w:eastAsiaTheme="minorEastAsia" w:hAnsi="Comic Sans MS"/>
          <w:sz w:val="25"/>
          <w:szCs w:val="25"/>
        </w:rPr>
      </w:pPr>
    </w:p>
    <w:p w14:paraId="7726D0B2" w14:textId="77777777" w:rsidR="00746A83" w:rsidRPr="00C21983" w:rsidRDefault="00746A83" w:rsidP="00746A83">
      <w:pPr>
        <w:pStyle w:val="ListParagraph"/>
        <w:ind w:left="1440"/>
        <w:rPr>
          <w:rFonts w:ascii="Comic Sans MS" w:eastAsiaTheme="minorEastAsia" w:hAnsi="Comic Sans MS"/>
          <w:sz w:val="25"/>
          <w:szCs w:val="25"/>
        </w:rPr>
      </w:pPr>
    </w:p>
    <w:p w14:paraId="02EEBEB7" w14:textId="3624B12B" w:rsidR="007F61F8" w:rsidRPr="00C21983" w:rsidRDefault="007F61F8" w:rsidP="007F61F8">
      <w:pPr>
        <w:rPr>
          <w:rFonts w:ascii="Comic Sans MS" w:eastAsiaTheme="minorEastAsia" w:hAnsi="Comic Sans MS"/>
          <w:sz w:val="25"/>
          <w:szCs w:val="25"/>
        </w:rPr>
      </w:pPr>
    </w:p>
    <w:p w14:paraId="298D6DE3" w14:textId="77777777" w:rsidR="00297082" w:rsidRPr="00C21983" w:rsidRDefault="00297082" w:rsidP="00297082">
      <w:pPr>
        <w:pStyle w:val="ListParagraph"/>
        <w:ind w:left="1440"/>
        <w:rPr>
          <w:rFonts w:ascii="Comic Sans MS" w:eastAsiaTheme="minorEastAsia" w:hAnsi="Comic Sans MS"/>
          <w:sz w:val="25"/>
          <w:szCs w:val="25"/>
        </w:rPr>
      </w:pPr>
    </w:p>
    <w:p w14:paraId="7BB1EFF6" w14:textId="77777777" w:rsidR="0090305C" w:rsidRPr="00C21983" w:rsidRDefault="0090305C" w:rsidP="0090305C">
      <w:pPr>
        <w:rPr>
          <w:rFonts w:ascii="Comic Sans MS" w:eastAsiaTheme="minorEastAsia" w:hAnsi="Comic Sans MS"/>
          <w:sz w:val="25"/>
          <w:szCs w:val="25"/>
        </w:rPr>
      </w:pPr>
    </w:p>
    <w:p w14:paraId="692C33E1" w14:textId="77777777" w:rsidR="00084154" w:rsidRPr="00C21983" w:rsidRDefault="00084154" w:rsidP="00B439EA">
      <w:pPr>
        <w:pStyle w:val="ListParagraph"/>
        <w:ind w:left="1440"/>
        <w:rPr>
          <w:rFonts w:ascii="Comic Sans MS" w:eastAsiaTheme="minorEastAsia" w:hAnsi="Comic Sans MS"/>
          <w:sz w:val="25"/>
          <w:szCs w:val="25"/>
        </w:rPr>
      </w:pPr>
    </w:p>
    <w:p w14:paraId="6FCF74C7" w14:textId="08F72077" w:rsidR="00A76038" w:rsidRPr="00C21983" w:rsidRDefault="00A76038" w:rsidP="00B439EA">
      <w:pPr>
        <w:pStyle w:val="ListParagraph"/>
        <w:ind w:left="1440"/>
        <w:rPr>
          <w:rFonts w:ascii="Comic Sans MS" w:eastAsiaTheme="minorEastAsia" w:hAnsi="Comic Sans MS"/>
          <w:sz w:val="25"/>
          <w:szCs w:val="25"/>
        </w:rPr>
      </w:pPr>
      <w:r w:rsidRPr="00C21983">
        <w:rPr>
          <w:rFonts w:ascii="Comic Sans MS" w:eastAsiaTheme="minorEastAsia" w:hAnsi="Comic Sans MS"/>
          <w:sz w:val="25"/>
          <w:szCs w:val="25"/>
        </w:rPr>
        <w:t xml:space="preserve"> </w:t>
      </w:r>
      <w:r w:rsidRPr="00C21983">
        <w:rPr>
          <w:rFonts w:ascii="Comic Sans MS" w:eastAsiaTheme="minorEastAsia" w:hAnsi="Comic Sans MS"/>
          <w:sz w:val="25"/>
          <w:szCs w:val="25"/>
        </w:rPr>
        <w:cr/>
        <w:t xml:space="preserve"> </w:t>
      </w:r>
    </w:p>
    <w:sectPr w:rsidR="00A76038" w:rsidRPr="00C219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901"/>
    <w:multiLevelType w:val="hybridMultilevel"/>
    <w:tmpl w:val="F8A8DFB4"/>
    <w:lvl w:ilvl="0" w:tplc="65501B3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15:restartNumberingAfterBreak="0">
    <w:nsid w:val="00E45072"/>
    <w:multiLevelType w:val="hybridMultilevel"/>
    <w:tmpl w:val="B53EAA6C"/>
    <w:lvl w:ilvl="0" w:tplc="0CEC217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3BC74F0"/>
    <w:multiLevelType w:val="hybridMultilevel"/>
    <w:tmpl w:val="637E49AA"/>
    <w:lvl w:ilvl="0" w:tplc="7FF42C9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9A47EAF"/>
    <w:multiLevelType w:val="hybridMultilevel"/>
    <w:tmpl w:val="4F2E16DE"/>
    <w:lvl w:ilvl="0" w:tplc="789C72D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ADC55C7"/>
    <w:multiLevelType w:val="hybridMultilevel"/>
    <w:tmpl w:val="4DAC4956"/>
    <w:lvl w:ilvl="0" w:tplc="604A7E5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0DFC2D96"/>
    <w:multiLevelType w:val="hybridMultilevel"/>
    <w:tmpl w:val="E426143A"/>
    <w:lvl w:ilvl="0" w:tplc="945E623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0F2C3ADF"/>
    <w:multiLevelType w:val="hybridMultilevel"/>
    <w:tmpl w:val="CDB4279C"/>
    <w:lvl w:ilvl="0" w:tplc="96E07ACE">
      <w:start w:val="1"/>
      <w:numFmt w:val="lowerRoman"/>
      <w:lvlText w:val="%1)"/>
      <w:lvlJc w:val="left"/>
      <w:pPr>
        <w:ind w:left="1712"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51A3AA3"/>
    <w:multiLevelType w:val="hybridMultilevel"/>
    <w:tmpl w:val="9390A256"/>
    <w:lvl w:ilvl="0" w:tplc="336C425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AD758D5"/>
    <w:multiLevelType w:val="hybridMultilevel"/>
    <w:tmpl w:val="481493A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15:restartNumberingAfterBreak="0">
    <w:nsid w:val="1EE14C5D"/>
    <w:multiLevelType w:val="hybridMultilevel"/>
    <w:tmpl w:val="EB8E245E"/>
    <w:lvl w:ilvl="0" w:tplc="0CEC217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8AD73EF"/>
    <w:multiLevelType w:val="hybridMultilevel"/>
    <w:tmpl w:val="9DF8D916"/>
    <w:lvl w:ilvl="0" w:tplc="3E2A454A">
      <w:start w:val="1"/>
      <w:numFmt w:val="lowerRoman"/>
      <w:lvlText w:val="%1)"/>
      <w:lvlJc w:val="left"/>
      <w:pPr>
        <w:ind w:left="2432" w:hanging="720"/>
      </w:pPr>
      <w:rPr>
        <w:rFonts w:hint="default"/>
      </w:rPr>
    </w:lvl>
    <w:lvl w:ilvl="1" w:tplc="40090019" w:tentative="1">
      <w:start w:val="1"/>
      <w:numFmt w:val="lowerLetter"/>
      <w:lvlText w:val="%2."/>
      <w:lvlJc w:val="left"/>
      <w:pPr>
        <w:ind w:left="2792" w:hanging="360"/>
      </w:pPr>
    </w:lvl>
    <w:lvl w:ilvl="2" w:tplc="4009001B" w:tentative="1">
      <w:start w:val="1"/>
      <w:numFmt w:val="lowerRoman"/>
      <w:lvlText w:val="%3."/>
      <w:lvlJc w:val="right"/>
      <w:pPr>
        <w:ind w:left="3512" w:hanging="180"/>
      </w:pPr>
    </w:lvl>
    <w:lvl w:ilvl="3" w:tplc="4009000F" w:tentative="1">
      <w:start w:val="1"/>
      <w:numFmt w:val="decimal"/>
      <w:lvlText w:val="%4."/>
      <w:lvlJc w:val="left"/>
      <w:pPr>
        <w:ind w:left="4232" w:hanging="360"/>
      </w:pPr>
    </w:lvl>
    <w:lvl w:ilvl="4" w:tplc="40090019" w:tentative="1">
      <w:start w:val="1"/>
      <w:numFmt w:val="lowerLetter"/>
      <w:lvlText w:val="%5."/>
      <w:lvlJc w:val="left"/>
      <w:pPr>
        <w:ind w:left="4952" w:hanging="360"/>
      </w:pPr>
    </w:lvl>
    <w:lvl w:ilvl="5" w:tplc="4009001B" w:tentative="1">
      <w:start w:val="1"/>
      <w:numFmt w:val="lowerRoman"/>
      <w:lvlText w:val="%6."/>
      <w:lvlJc w:val="right"/>
      <w:pPr>
        <w:ind w:left="5672" w:hanging="180"/>
      </w:pPr>
    </w:lvl>
    <w:lvl w:ilvl="6" w:tplc="4009000F" w:tentative="1">
      <w:start w:val="1"/>
      <w:numFmt w:val="decimal"/>
      <w:lvlText w:val="%7."/>
      <w:lvlJc w:val="left"/>
      <w:pPr>
        <w:ind w:left="6392" w:hanging="360"/>
      </w:pPr>
    </w:lvl>
    <w:lvl w:ilvl="7" w:tplc="40090019" w:tentative="1">
      <w:start w:val="1"/>
      <w:numFmt w:val="lowerLetter"/>
      <w:lvlText w:val="%8."/>
      <w:lvlJc w:val="left"/>
      <w:pPr>
        <w:ind w:left="7112" w:hanging="360"/>
      </w:pPr>
    </w:lvl>
    <w:lvl w:ilvl="8" w:tplc="4009001B" w:tentative="1">
      <w:start w:val="1"/>
      <w:numFmt w:val="lowerRoman"/>
      <w:lvlText w:val="%9."/>
      <w:lvlJc w:val="right"/>
      <w:pPr>
        <w:ind w:left="7832" w:hanging="180"/>
      </w:pPr>
    </w:lvl>
  </w:abstractNum>
  <w:abstractNum w:abstractNumId="11" w15:restartNumberingAfterBreak="0">
    <w:nsid w:val="3C3B64EF"/>
    <w:multiLevelType w:val="hybridMultilevel"/>
    <w:tmpl w:val="EBB8B4E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45C25875"/>
    <w:multiLevelType w:val="hybridMultilevel"/>
    <w:tmpl w:val="4F969A00"/>
    <w:lvl w:ilvl="0" w:tplc="12BE3FA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B5F3AFD"/>
    <w:multiLevelType w:val="hybridMultilevel"/>
    <w:tmpl w:val="F420F68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5D531C"/>
    <w:multiLevelType w:val="hybridMultilevel"/>
    <w:tmpl w:val="6D46B2C2"/>
    <w:lvl w:ilvl="0" w:tplc="0CEC217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658D2144"/>
    <w:multiLevelType w:val="hybridMultilevel"/>
    <w:tmpl w:val="A10A8376"/>
    <w:lvl w:ilvl="0" w:tplc="7DD824EA">
      <w:start w:val="1"/>
      <w:numFmt w:val="lowerLetter"/>
      <w:lvlText w:val="%1)"/>
      <w:lvlJc w:val="left"/>
      <w:pPr>
        <w:ind w:left="1080" w:hanging="360"/>
      </w:pPr>
      <w:rPr>
        <w:rFonts w:asciiTheme="minorHAnsi" w:eastAsiaTheme="minorEastAsia" w:hAnsi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9313839"/>
    <w:multiLevelType w:val="hybridMultilevel"/>
    <w:tmpl w:val="313E6098"/>
    <w:lvl w:ilvl="0" w:tplc="62CE0CB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70012FB1"/>
    <w:multiLevelType w:val="hybridMultilevel"/>
    <w:tmpl w:val="222C3A9C"/>
    <w:lvl w:ilvl="0" w:tplc="BED2082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744E3037"/>
    <w:multiLevelType w:val="hybridMultilevel"/>
    <w:tmpl w:val="CECE54A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 w15:restartNumberingAfterBreak="0">
    <w:nsid w:val="7771074D"/>
    <w:multiLevelType w:val="hybridMultilevel"/>
    <w:tmpl w:val="9D72CA98"/>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0" w15:restartNumberingAfterBreak="0">
    <w:nsid w:val="7870381E"/>
    <w:multiLevelType w:val="hybridMultilevel"/>
    <w:tmpl w:val="7806F266"/>
    <w:lvl w:ilvl="0" w:tplc="0D0CFD2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3"/>
  </w:num>
  <w:num w:numId="2">
    <w:abstractNumId w:val="2"/>
  </w:num>
  <w:num w:numId="3">
    <w:abstractNumId w:val="17"/>
  </w:num>
  <w:num w:numId="4">
    <w:abstractNumId w:val="3"/>
  </w:num>
  <w:num w:numId="5">
    <w:abstractNumId w:val="15"/>
  </w:num>
  <w:num w:numId="6">
    <w:abstractNumId w:val="7"/>
  </w:num>
  <w:num w:numId="7">
    <w:abstractNumId w:val="1"/>
  </w:num>
  <w:num w:numId="8">
    <w:abstractNumId w:val="9"/>
  </w:num>
  <w:num w:numId="9">
    <w:abstractNumId w:val="14"/>
  </w:num>
  <w:num w:numId="10">
    <w:abstractNumId w:val="8"/>
  </w:num>
  <w:num w:numId="11">
    <w:abstractNumId w:val="19"/>
  </w:num>
  <w:num w:numId="12">
    <w:abstractNumId w:val="18"/>
  </w:num>
  <w:num w:numId="13">
    <w:abstractNumId w:val="11"/>
  </w:num>
  <w:num w:numId="14">
    <w:abstractNumId w:val="6"/>
  </w:num>
  <w:num w:numId="15">
    <w:abstractNumId w:val="0"/>
  </w:num>
  <w:num w:numId="16">
    <w:abstractNumId w:val="12"/>
  </w:num>
  <w:num w:numId="17">
    <w:abstractNumId w:val="10"/>
  </w:num>
  <w:num w:numId="18">
    <w:abstractNumId w:val="20"/>
  </w:num>
  <w:num w:numId="19">
    <w:abstractNumId w:val="16"/>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C3F"/>
    <w:rsid w:val="00084154"/>
    <w:rsid w:val="001A058F"/>
    <w:rsid w:val="002954F4"/>
    <w:rsid w:val="00296CB5"/>
    <w:rsid w:val="00297082"/>
    <w:rsid w:val="003E5448"/>
    <w:rsid w:val="00404931"/>
    <w:rsid w:val="00464F72"/>
    <w:rsid w:val="004B7C23"/>
    <w:rsid w:val="00525426"/>
    <w:rsid w:val="006F3A97"/>
    <w:rsid w:val="00707C88"/>
    <w:rsid w:val="00746A83"/>
    <w:rsid w:val="007A3674"/>
    <w:rsid w:val="007F1C72"/>
    <w:rsid w:val="007F518F"/>
    <w:rsid w:val="007F61F8"/>
    <w:rsid w:val="008C10B2"/>
    <w:rsid w:val="008D6435"/>
    <w:rsid w:val="0090305C"/>
    <w:rsid w:val="00904927"/>
    <w:rsid w:val="00987F01"/>
    <w:rsid w:val="00A039A0"/>
    <w:rsid w:val="00A26C3F"/>
    <w:rsid w:val="00A63DD6"/>
    <w:rsid w:val="00A76038"/>
    <w:rsid w:val="00AB6C44"/>
    <w:rsid w:val="00AE6B5C"/>
    <w:rsid w:val="00B439EA"/>
    <w:rsid w:val="00BD259B"/>
    <w:rsid w:val="00C11A6A"/>
    <w:rsid w:val="00C21983"/>
    <w:rsid w:val="00C33A35"/>
    <w:rsid w:val="00CC56F1"/>
    <w:rsid w:val="00D25559"/>
    <w:rsid w:val="00E70AC3"/>
    <w:rsid w:val="00F0719C"/>
    <w:rsid w:val="00F957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E04FB"/>
  <w15:chartTrackingRefBased/>
  <w15:docId w15:val="{9947B7DD-D3B1-4BCB-8E00-462ED4E9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C23"/>
    <w:pPr>
      <w:ind w:left="720"/>
      <w:contextualSpacing/>
    </w:pPr>
  </w:style>
  <w:style w:type="character" w:styleId="PlaceholderText">
    <w:name w:val="Placeholder Text"/>
    <w:basedOn w:val="DefaultParagraphFont"/>
    <w:uiPriority w:val="99"/>
    <w:semiHidden/>
    <w:rsid w:val="004B7C23"/>
    <w:rPr>
      <w:color w:val="808080"/>
    </w:rPr>
  </w:style>
  <w:style w:type="table" w:styleId="TableGrid">
    <w:name w:val="Table Grid"/>
    <w:basedOn w:val="TableNormal"/>
    <w:uiPriority w:val="39"/>
    <w:rsid w:val="00F07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Angane</dc:creator>
  <cp:keywords/>
  <dc:description/>
  <cp:lastModifiedBy>Kshitij Srivastava</cp:lastModifiedBy>
  <cp:revision>2</cp:revision>
  <dcterms:created xsi:type="dcterms:W3CDTF">2021-10-05T08:31:00Z</dcterms:created>
  <dcterms:modified xsi:type="dcterms:W3CDTF">2021-10-05T08:31:00Z</dcterms:modified>
</cp:coreProperties>
</file>