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F52" w:rsidRDefault="007A3F05">
      <w:pPr>
        <w:rPr>
          <w:rFonts w:ascii="Bahnschrift" w:hAnsi="Bahnschrift"/>
          <w:b/>
          <w:u w:val="single"/>
          <w:lang w:val="en-US"/>
        </w:rPr>
      </w:pPr>
      <w:r w:rsidRPr="007A3F05">
        <w:rPr>
          <w:rFonts w:ascii="Bahnschrift" w:hAnsi="Bahnschrift"/>
          <w:b/>
          <w:u w:val="single"/>
          <w:lang w:val="en-US"/>
        </w:rPr>
        <w:t xml:space="preserve">Business Finance Assignment-1 </w:t>
      </w:r>
    </w:p>
    <w:p w:rsidR="007A3F05" w:rsidRDefault="007A3F05">
      <w:pPr>
        <w:rPr>
          <w:rFonts w:ascii="Bahnschrift" w:hAnsi="Bahnschrift"/>
          <w:b/>
          <w:u w:val="single"/>
          <w:lang w:val="en-US"/>
        </w:rPr>
      </w:pPr>
    </w:p>
    <w:p w:rsidR="007A3F05" w:rsidRDefault="007A3F05" w:rsidP="007A3F05">
      <w:pPr>
        <w:pStyle w:val="ListParagraph"/>
        <w:numPr>
          <w:ilvl w:val="0"/>
          <w:numId w:val="1"/>
        </w:numPr>
        <w:rPr>
          <w:rFonts w:ascii="Bahnschrift" w:hAnsi="Bahnschrift"/>
          <w:lang w:val="en-US"/>
        </w:rPr>
      </w:pPr>
      <w:r>
        <w:rPr>
          <w:rFonts w:ascii="Bahnschrift" w:hAnsi="Bahnschrift"/>
          <w:lang w:val="en-US"/>
        </w:rPr>
        <w:t>B</w:t>
      </w:r>
    </w:p>
    <w:p w:rsidR="007A3F05" w:rsidRDefault="007A3F05" w:rsidP="007A3F05">
      <w:pPr>
        <w:pStyle w:val="ListParagraph"/>
        <w:numPr>
          <w:ilvl w:val="0"/>
          <w:numId w:val="1"/>
        </w:numPr>
        <w:rPr>
          <w:rFonts w:ascii="Bahnschrift" w:hAnsi="Bahnschrift"/>
          <w:lang w:val="en-US"/>
        </w:rPr>
      </w:pPr>
      <w:r>
        <w:rPr>
          <w:rFonts w:ascii="Bahnschrift" w:hAnsi="Bahnschrift"/>
          <w:lang w:val="en-US"/>
        </w:rPr>
        <w:t>C</w:t>
      </w:r>
    </w:p>
    <w:p w:rsidR="007A3F05" w:rsidRDefault="007A3F05" w:rsidP="007A3F05">
      <w:pPr>
        <w:pStyle w:val="ListParagraph"/>
        <w:numPr>
          <w:ilvl w:val="0"/>
          <w:numId w:val="1"/>
        </w:numPr>
        <w:rPr>
          <w:rFonts w:ascii="Bahnschrift" w:hAnsi="Bahnschrift"/>
          <w:lang w:val="en-US"/>
        </w:rPr>
      </w:pPr>
      <w:r>
        <w:rPr>
          <w:rFonts w:ascii="Bahnschrift" w:hAnsi="Bahnschrift"/>
          <w:lang w:val="en-US"/>
        </w:rPr>
        <w:t>C</w:t>
      </w:r>
    </w:p>
    <w:p w:rsidR="007A3F05" w:rsidRDefault="007A3F05" w:rsidP="007A3F05">
      <w:pPr>
        <w:pStyle w:val="ListParagraph"/>
        <w:numPr>
          <w:ilvl w:val="0"/>
          <w:numId w:val="1"/>
        </w:numPr>
        <w:rPr>
          <w:rFonts w:ascii="Bahnschrift" w:hAnsi="Bahnschrift"/>
          <w:lang w:val="en-US"/>
        </w:rPr>
      </w:pPr>
      <w:r>
        <w:rPr>
          <w:rFonts w:ascii="Bahnschrift" w:hAnsi="Bahnschrift"/>
          <w:lang w:val="en-US"/>
        </w:rPr>
        <w:t>A</w:t>
      </w:r>
    </w:p>
    <w:p w:rsidR="00B023D4" w:rsidRPr="00B023D4" w:rsidRDefault="007A3F05" w:rsidP="00B023D4">
      <w:pPr>
        <w:pStyle w:val="ListParagraph"/>
        <w:numPr>
          <w:ilvl w:val="0"/>
          <w:numId w:val="1"/>
        </w:numPr>
        <w:rPr>
          <w:rFonts w:ascii="Bahnschrift" w:hAnsi="Bahnschrift"/>
          <w:lang w:val="en-US"/>
        </w:rPr>
      </w:pPr>
      <w:r w:rsidRPr="00ED34BC">
        <w:rPr>
          <w:rFonts w:ascii="Bahnschrift" w:hAnsi="Bahnschrift"/>
          <w:b/>
          <w:u w:val="single"/>
          <w:lang w:val="en-US"/>
        </w:rPr>
        <w:t>Realization</w:t>
      </w:r>
      <w:r w:rsidRPr="00ED34BC">
        <w:rPr>
          <w:rFonts w:ascii="Bahnschrift" w:hAnsi="Bahnschrift"/>
          <w:lang w:val="en-US"/>
        </w:rPr>
        <w:t xml:space="preserve">- </w:t>
      </w:r>
      <w:r w:rsidR="00ED34BC" w:rsidRPr="00ED34BC">
        <w:rPr>
          <w:rFonts w:ascii="Bahnschrift" w:hAnsi="Bahnschrift"/>
          <w:lang w:val="en-US"/>
        </w:rPr>
        <w:t>Income is recognized as and when it is earned. It is not, therefore, necessary to wait until the customer settles his or her bill. This avoids the fluctuations in reported income which might arise if everything was accounted for on a cash basis.</w:t>
      </w:r>
      <w:r w:rsidR="00ED34BC">
        <w:rPr>
          <w:rFonts w:ascii="Bahnschrift" w:hAnsi="Bahnschrift"/>
          <w:lang w:val="en-US"/>
        </w:rPr>
        <w:t xml:space="preserve"> </w:t>
      </w:r>
      <w:r w:rsidR="00ED34BC" w:rsidRPr="00ED34BC">
        <w:rPr>
          <w:rFonts w:ascii="Bahnschrift" w:hAnsi="Bahnschrift"/>
          <w:b/>
          <w:u w:val="single"/>
          <w:lang w:val="en-US"/>
        </w:rPr>
        <w:t>Acc</w:t>
      </w:r>
      <w:r w:rsidRPr="00ED34BC">
        <w:rPr>
          <w:rFonts w:ascii="Bahnschrift" w:hAnsi="Bahnschrift"/>
          <w:b/>
          <w:u w:val="single"/>
          <w:lang w:val="en-US"/>
        </w:rPr>
        <w:t>rual</w:t>
      </w:r>
      <w:r w:rsidRPr="00ED34BC">
        <w:rPr>
          <w:rFonts w:ascii="Bahnschrift" w:hAnsi="Bahnschrift"/>
          <w:lang w:val="en-US"/>
        </w:rPr>
        <w:t xml:space="preserve">- </w:t>
      </w:r>
      <w:r w:rsidR="00ED34BC" w:rsidRPr="00ED34BC">
        <w:rPr>
          <w:rFonts w:ascii="Bahnschrift" w:hAnsi="Bahnschrift"/>
          <w:lang w:val="en-US"/>
        </w:rPr>
        <w:t>Expenses are recognized as and when they are incurred, regardless of whether the amount has been paid.</w:t>
      </w:r>
    </w:p>
    <w:p w:rsidR="00B023D4" w:rsidRPr="00B023D4" w:rsidRDefault="00B023D4" w:rsidP="00B023D4">
      <w:pPr>
        <w:pStyle w:val="ListParagraph"/>
        <w:ind w:left="360"/>
        <w:rPr>
          <w:rFonts w:ascii="Bahnschrift" w:hAnsi="Bahnschrift"/>
          <w:lang w:val="en-US"/>
        </w:rPr>
      </w:pPr>
      <w:r w:rsidRPr="00B023D4">
        <w:rPr>
          <w:rFonts w:ascii="Bahnschrift" w:hAnsi="Bahnschrift"/>
        </w:rPr>
        <w:t>Insurance company will account for income received through premiums throughout the year – realization concept and claims will be accounted as and when incurred</w:t>
      </w:r>
    </w:p>
    <w:p w:rsidR="00ED34BC" w:rsidRDefault="00ED34BC" w:rsidP="00ED34BC">
      <w:pPr>
        <w:pStyle w:val="ListParagraph"/>
        <w:rPr>
          <w:rFonts w:ascii="Bahnschrift" w:hAnsi="Bahnschrift"/>
          <w:lang w:val="en-US"/>
        </w:rPr>
      </w:pPr>
    </w:p>
    <w:p w:rsidR="00ED34BC" w:rsidRPr="00ED34BC" w:rsidRDefault="00ED34BC" w:rsidP="00ED34BC">
      <w:pPr>
        <w:pStyle w:val="ListParagraph"/>
        <w:numPr>
          <w:ilvl w:val="0"/>
          <w:numId w:val="1"/>
        </w:numPr>
        <w:rPr>
          <w:rFonts w:ascii="Bahnschrift" w:hAnsi="Bahnschrift"/>
          <w:lang w:val="en-US"/>
        </w:rPr>
      </w:pPr>
    </w:p>
    <w:p w:rsidR="00ED34BC" w:rsidRDefault="00ED34BC" w:rsidP="004D236B">
      <w:pPr>
        <w:pStyle w:val="ListParagraph"/>
        <w:numPr>
          <w:ilvl w:val="0"/>
          <w:numId w:val="1"/>
        </w:numPr>
        <w:rPr>
          <w:rFonts w:ascii="Bahnschrift" w:hAnsi="Bahnschrift"/>
          <w:lang w:val="en-US"/>
        </w:rPr>
      </w:pPr>
      <w:r>
        <w:rPr>
          <w:rFonts w:ascii="Bahnschrift" w:hAnsi="Bahnschrift"/>
          <w:lang w:val="en-US"/>
        </w:rPr>
        <w:t>1)</w:t>
      </w:r>
      <w:r w:rsidR="004D236B" w:rsidRPr="004D236B">
        <w:t xml:space="preserve"> </w:t>
      </w:r>
      <w:r w:rsidR="004D236B" w:rsidRPr="004D236B">
        <w:rPr>
          <w:rFonts w:ascii="Bahnschrift" w:hAnsi="Bahnschrift"/>
          <w:lang w:val="en-US"/>
        </w:rPr>
        <w:t>increase</w:t>
      </w:r>
    </w:p>
    <w:p w:rsidR="00ED34BC" w:rsidRDefault="00ED34BC" w:rsidP="00ED34BC">
      <w:pPr>
        <w:pStyle w:val="ListParagraph"/>
        <w:ind w:left="360"/>
        <w:rPr>
          <w:rFonts w:ascii="Bahnschrift" w:hAnsi="Bahnschrift"/>
          <w:lang w:val="en-US"/>
        </w:rPr>
      </w:pPr>
      <w:r>
        <w:rPr>
          <w:rFonts w:ascii="Bahnschrift" w:hAnsi="Bahnschrift"/>
          <w:lang w:val="en-US"/>
        </w:rPr>
        <w:t>2)</w:t>
      </w:r>
      <w:r w:rsidR="004D236B" w:rsidRPr="004D236B">
        <w:t xml:space="preserve"> </w:t>
      </w:r>
      <w:r w:rsidR="004D236B">
        <w:rPr>
          <w:rFonts w:ascii="Bahnschrift" w:hAnsi="Bahnschrift"/>
          <w:lang w:val="en-US"/>
        </w:rPr>
        <w:t>decrease</w:t>
      </w:r>
    </w:p>
    <w:p w:rsidR="00ED34BC" w:rsidRDefault="00ED34BC" w:rsidP="00ED34BC">
      <w:pPr>
        <w:pStyle w:val="ListParagraph"/>
        <w:ind w:left="360"/>
        <w:rPr>
          <w:rFonts w:ascii="Bahnschrift" w:hAnsi="Bahnschrift"/>
          <w:lang w:val="en-US"/>
        </w:rPr>
      </w:pPr>
      <w:r>
        <w:rPr>
          <w:rFonts w:ascii="Bahnschrift" w:hAnsi="Bahnschrift"/>
          <w:lang w:val="en-US"/>
        </w:rPr>
        <w:t>3)</w:t>
      </w:r>
      <w:r w:rsidR="004D236B" w:rsidRPr="004D236B">
        <w:t xml:space="preserve"> </w:t>
      </w:r>
      <w:r w:rsidR="004D236B">
        <w:rPr>
          <w:rFonts w:ascii="Bahnschrift" w:hAnsi="Bahnschrift"/>
          <w:lang w:val="en-US"/>
        </w:rPr>
        <w:t xml:space="preserve">increase </w:t>
      </w:r>
    </w:p>
    <w:p w:rsidR="00ED34BC" w:rsidRDefault="00ED34BC" w:rsidP="00ED34BC">
      <w:pPr>
        <w:pStyle w:val="ListParagraph"/>
        <w:ind w:left="360"/>
        <w:rPr>
          <w:rFonts w:ascii="Bahnschrift" w:hAnsi="Bahnschrift"/>
          <w:lang w:val="en-US"/>
        </w:rPr>
      </w:pPr>
      <w:r>
        <w:rPr>
          <w:rFonts w:ascii="Bahnschrift" w:hAnsi="Bahnschrift"/>
          <w:lang w:val="en-US"/>
        </w:rPr>
        <w:t>4)</w:t>
      </w:r>
      <w:r w:rsidR="004D236B" w:rsidRPr="004D236B">
        <w:t xml:space="preserve"> </w:t>
      </w:r>
      <w:r w:rsidR="004D236B">
        <w:rPr>
          <w:rFonts w:ascii="Bahnschrift" w:hAnsi="Bahnschrift"/>
          <w:lang w:val="en-US"/>
        </w:rPr>
        <w:t>decrease</w:t>
      </w:r>
    </w:p>
    <w:p w:rsidR="00ED34BC" w:rsidRDefault="00ED34BC" w:rsidP="00ED34BC">
      <w:pPr>
        <w:pStyle w:val="ListParagraph"/>
        <w:ind w:left="360"/>
        <w:rPr>
          <w:rFonts w:ascii="Bahnschrift" w:hAnsi="Bahnschrift"/>
          <w:lang w:val="en-US"/>
        </w:rPr>
      </w:pPr>
      <w:r>
        <w:rPr>
          <w:rFonts w:ascii="Bahnschrift" w:hAnsi="Bahnschrift"/>
          <w:lang w:val="en-US"/>
        </w:rPr>
        <w:t>5)</w:t>
      </w:r>
      <w:r w:rsidR="004D236B" w:rsidRPr="004D236B">
        <w:t xml:space="preserve"> </w:t>
      </w:r>
      <w:r w:rsidR="004D236B" w:rsidRPr="004D236B">
        <w:rPr>
          <w:rFonts w:ascii="Bahnschrift" w:hAnsi="Bahnschrift"/>
          <w:lang w:val="en-US"/>
        </w:rPr>
        <w:t>increase</w:t>
      </w:r>
    </w:p>
    <w:p w:rsidR="00B023D4" w:rsidRDefault="00B023D4" w:rsidP="00ED34BC">
      <w:pPr>
        <w:pStyle w:val="ListParagraph"/>
        <w:ind w:left="360"/>
        <w:rPr>
          <w:rFonts w:ascii="Bahnschrift" w:hAnsi="Bahnschrift"/>
          <w:lang w:val="en-US"/>
        </w:rPr>
      </w:pPr>
    </w:p>
    <w:p w:rsidR="00B023D4" w:rsidRDefault="00B023D4" w:rsidP="00ED34BC">
      <w:pPr>
        <w:pStyle w:val="ListParagraph"/>
        <w:ind w:left="360"/>
        <w:rPr>
          <w:rFonts w:ascii="Bahnschrift" w:hAnsi="Bahnschrift"/>
          <w:lang w:val="en-US"/>
        </w:rPr>
      </w:pPr>
    </w:p>
    <w:p w:rsidR="00ED34BC" w:rsidRDefault="00ED34BC" w:rsidP="00133F8B">
      <w:pPr>
        <w:rPr>
          <w:rFonts w:ascii="Bahnschrift" w:hAnsi="Bahnschrift"/>
          <w:lang w:val="en-US"/>
        </w:rPr>
      </w:pPr>
      <w:r>
        <w:rPr>
          <w:rFonts w:ascii="Bahnschrift" w:hAnsi="Bahnschrift"/>
          <w:lang w:val="en-US"/>
        </w:rPr>
        <w:t xml:space="preserve">8. </w:t>
      </w:r>
      <w:r w:rsidR="004D236B">
        <w:rPr>
          <w:rFonts w:ascii="Bahnschrift" w:hAnsi="Bahnschrift"/>
          <w:lang w:val="en-US"/>
        </w:rPr>
        <w:t xml:space="preserve">1) </w:t>
      </w:r>
      <w:r w:rsidR="00133F8B" w:rsidRPr="00133F8B">
        <w:rPr>
          <w:rFonts w:ascii="Bahnschrift" w:hAnsi="Bahnschrift"/>
          <w:lang w:val="en-US"/>
        </w:rPr>
        <w:t>Regulatory bodies are established by governments or other organizations to oversee the functioning and fairness of financial markets and the firms that engage in financi</w:t>
      </w:r>
      <w:r w:rsidR="00133F8B">
        <w:rPr>
          <w:rFonts w:ascii="Bahnschrift" w:hAnsi="Bahnschrift"/>
          <w:lang w:val="en-US"/>
        </w:rPr>
        <w:t xml:space="preserve">al activity. </w:t>
      </w:r>
      <w:r w:rsidR="00133F8B" w:rsidRPr="00133F8B">
        <w:rPr>
          <w:rFonts w:ascii="Bahnschrift" w:hAnsi="Bahnschrift"/>
          <w:lang w:val="en-US"/>
        </w:rPr>
        <w:t>The goal of regulation is to prevent and investigate fraud, keep markets efficient and transparent, and make sure customers and clients are treated fairly and honestly</w:t>
      </w:r>
    </w:p>
    <w:p w:rsidR="00133F8B" w:rsidRPr="00133F8B" w:rsidRDefault="00133F8B" w:rsidP="00133F8B">
      <w:pPr>
        <w:rPr>
          <w:rFonts w:ascii="Bahnschrift" w:hAnsi="Bahnschrift"/>
          <w:lang w:val="fr-FR"/>
        </w:rPr>
      </w:pPr>
      <w:r>
        <w:rPr>
          <w:rFonts w:ascii="Bahnschrift" w:hAnsi="Bahnschrift"/>
          <w:lang w:val="en-US"/>
        </w:rPr>
        <w:t xml:space="preserve">   2) </w:t>
      </w:r>
      <w:r w:rsidRPr="00133F8B">
        <w:rPr>
          <w:rFonts w:ascii="Bahnschrift" w:hAnsi="Bahnschrift"/>
          <w:lang w:val="fr-FR"/>
        </w:rPr>
        <w:t>IRDAI, SEC, SEBI, RBI, Compétition Commission, PMRDA, EXIM, FMC, NFA, CFTC</w:t>
      </w:r>
    </w:p>
    <w:p w:rsidR="00133F8B" w:rsidRDefault="00133F8B" w:rsidP="00133F8B">
      <w:pPr>
        <w:rPr>
          <w:rFonts w:ascii="Bahnschrift" w:hAnsi="Bahnschrift"/>
        </w:rPr>
      </w:pPr>
      <w:r>
        <w:rPr>
          <w:rFonts w:ascii="Bahnschrift" w:hAnsi="Bahnschrift"/>
          <w:lang w:val="en-US"/>
        </w:rPr>
        <w:t xml:space="preserve">   3) </w:t>
      </w:r>
    </w:p>
    <w:p w:rsidR="00133F8B" w:rsidRPr="00133F8B" w:rsidRDefault="00133F8B" w:rsidP="00133F8B">
      <w:pPr>
        <w:rPr>
          <w:rFonts w:ascii="Bahnschrift" w:hAnsi="Bahnschrift"/>
        </w:rPr>
      </w:pPr>
      <w:r w:rsidRPr="00133F8B">
        <w:rPr>
          <w:rFonts w:ascii="Bahnschrift" w:hAnsi="Bahnschrift"/>
        </w:rPr>
        <w:t>a) Banks- RBI</w:t>
      </w:r>
    </w:p>
    <w:p w:rsidR="00133F8B" w:rsidRPr="00133F8B" w:rsidRDefault="00133F8B" w:rsidP="00133F8B">
      <w:pPr>
        <w:rPr>
          <w:rFonts w:ascii="Bahnschrift" w:hAnsi="Bahnschrift"/>
        </w:rPr>
      </w:pPr>
      <w:r w:rsidRPr="00133F8B">
        <w:rPr>
          <w:rFonts w:ascii="Bahnschrift" w:hAnsi="Bahnschrift"/>
        </w:rPr>
        <w:t>b) Superannuation Products-IRDAI / PMRDA</w:t>
      </w:r>
    </w:p>
    <w:p w:rsidR="00133F8B" w:rsidRPr="00133F8B" w:rsidRDefault="00133F8B" w:rsidP="00133F8B">
      <w:pPr>
        <w:rPr>
          <w:rFonts w:ascii="Bahnschrift" w:hAnsi="Bahnschrift"/>
        </w:rPr>
      </w:pPr>
      <w:r w:rsidRPr="00133F8B">
        <w:rPr>
          <w:rFonts w:ascii="Bahnschrift" w:hAnsi="Bahnschrift"/>
        </w:rPr>
        <w:t>c) General Insurance companies-IRDAI</w:t>
      </w:r>
    </w:p>
    <w:p w:rsidR="00133F8B" w:rsidRPr="00133F8B" w:rsidRDefault="00133F8B" w:rsidP="00133F8B">
      <w:pPr>
        <w:rPr>
          <w:rFonts w:ascii="Bahnschrift" w:hAnsi="Bahnschrift"/>
        </w:rPr>
      </w:pPr>
      <w:r w:rsidRPr="00133F8B">
        <w:rPr>
          <w:rFonts w:ascii="Bahnschrift" w:hAnsi="Bahnschrift"/>
        </w:rPr>
        <w:t>d) Stock brokers-SEBI</w:t>
      </w:r>
    </w:p>
    <w:p w:rsidR="00133F8B" w:rsidRPr="00133F8B" w:rsidRDefault="00133F8B" w:rsidP="00133F8B">
      <w:pPr>
        <w:rPr>
          <w:rFonts w:ascii="Bahnschrift" w:hAnsi="Bahnschrift"/>
        </w:rPr>
      </w:pPr>
      <w:r w:rsidRPr="00133F8B">
        <w:rPr>
          <w:rFonts w:ascii="Bahnschrift" w:hAnsi="Bahnschrift"/>
        </w:rPr>
        <w:t>e) Mutual Funds-SEBI</w:t>
      </w:r>
    </w:p>
    <w:p w:rsidR="00133F8B" w:rsidRPr="00133F8B" w:rsidRDefault="00133F8B" w:rsidP="00133F8B">
      <w:pPr>
        <w:rPr>
          <w:rFonts w:ascii="Bahnschrift" w:hAnsi="Bahnschrift"/>
        </w:rPr>
      </w:pPr>
      <w:r w:rsidRPr="00133F8B">
        <w:rPr>
          <w:rFonts w:ascii="Bahnschrift" w:hAnsi="Bahnschrift"/>
        </w:rPr>
        <w:t>f) Market for listed securities-SEBI</w:t>
      </w:r>
    </w:p>
    <w:p w:rsidR="00133F8B" w:rsidRPr="00133F8B" w:rsidRDefault="00133F8B" w:rsidP="00133F8B">
      <w:pPr>
        <w:rPr>
          <w:rFonts w:ascii="Bahnschrift" w:hAnsi="Bahnschrift"/>
        </w:rPr>
      </w:pPr>
      <w:r w:rsidRPr="00133F8B">
        <w:rPr>
          <w:rFonts w:ascii="Bahnschrift" w:hAnsi="Bahnschrift"/>
        </w:rPr>
        <w:t>g) Foreign exchange dealers-NFA /CFTC</w:t>
      </w:r>
    </w:p>
    <w:p w:rsidR="00133F8B" w:rsidRDefault="00133F8B" w:rsidP="00133F8B">
      <w:pPr>
        <w:rPr>
          <w:rFonts w:ascii="Bahnschrift" w:hAnsi="Bahnschrift"/>
        </w:rPr>
      </w:pPr>
      <w:r w:rsidRPr="00133F8B">
        <w:rPr>
          <w:rFonts w:ascii="Bahnschrift" w:hAnsi="Bahnschrift"/>
        </w:rPr>
        <w:t>h) Money changers-RBI</w:t>
      </w:r>
    </w:p>
    <w:p w:rsidR="00B023D4" w:rsidRDefault="00B023D4" w:rsidP="00133F8B">
      <w:pPr>
        <w:rPr>
          <w:rFonts w:ascii="Bahnschrift" w:hAnsi="Bahnschrift"/>
        </w:rPr>
      </w:pPr>
    </w:p>
    <w:p w:rsidR="00B023D4" w:rsidRDefault="00B023D4" w:rsidP="00133F8B">
      <w:pPr>
        <w:rPr>
          <w:rFonts w:ascii="Bahnschrift" w:hAnsi="Bahnschrift"/>
        </w:rPr>
      </w:pPr>
    </w:p>
    <w:p w:rsidR="00B023D4" w:rsidRDefault="00B023D4" w:rsidP="00133F8B">
      <w:pPr>
        <w:rPr>
          <w:rFonts w:ascii="Bahnschrift" w:hAnsi="Bahnschrift"/>
        </w:rPr>
      </w:pPr>
    </w:p>
    <w:p w:rsidR="00B023D4" w:rsidRDefault="00B023D4" w:rsidP="00133F8B">
      <w:pPr>
        <w:rPr>
          <w:rFonts w:ascii="Bahnschrift" w:hAnsi="Bahnschrift"/>
        </w:rPr>
      </w:pPr>
    </w:p>
    <w:p w:rsidR="00B023D4" w:rsidRPr="00B023D4" w:rsidRDefault="004346B4" w:rsidP="00B023D4">
      <w:pPr>
        <w:rPr>
          <w:rFonts w:ascii="Bahnschrift" w:hAnsi="Bahnschrift"/>
        </w:rPr>
      </w:pPr>
      <w:r>
        <w:rPr>
          <w:rFonts w:ascii="Bahnschrift" w:hAnsi="Bahnschrift"/>
        </w:rPr>
        <w:t xml:space="preserve">9. </w:t>
      </w:r>
      <w:proofErr w:type="spellStart"/>
      <w:r w:rsidR="00B023D4">
        <w:rPr>
          <w:rFonts w:ascii="Bahnschrift" w:hAnsi="Bahnschrift"/>
        </w:rPr>
        <w:t>i</w:t>
      </w:r>
      <w:proofErr w:type="spellEnd"/>
      <w:r w:rsidR="00B023D4">
        <w:rPr>
          <w:rFonts w:ascii="Bahnschrift" w:hAnsi="Bahnschrift"/>
        </w:rPr>
        <w:t xml:space="preserve">) </w:t>
      </w:r>
      <w:r w:rsidR="00B023D4" w:rsidRPr="00B023D4">
        <w:rPr>
          <w:rFonts w:ascii="Bahnschrift" w:hAnsi="Bahnschrift"/>
          <w:b/>
        </w:rPr>
        <w:t>Cost Concept</w:t>
      </w:r>
      <w:r w:rsidR="00B023D4">
        <w:rPr>
          <w:rFonts w:ascii="Bahnschrift" w:hAnsi="Bahnschrift"/>
        </w:rPr>
        <w:t xml:space="preserve">: </w:t>
      </w:r>
      <w:r w:rsidR="00B023D4" w:rsidRPr="00B023D4">
        <w:rPr>
          <w:rFonts w:ascii="Bahnschrift" w:hAnsi="Bahnschrift"/>
        </w:rPr>
        <w:t>non-current assets generally appear in the statement of</w:t>
      </w:r>
    </w:p>
    <w:p w:rsidR="00B023D4" w:rsidRPr="00B023D4" w:rsidRDefault="00B023D4" w:rsidP="00B023D4">
      <w:pPr>
        <w:rPr>
          <w:rFonts w:ascii="Bahnschrift" w:hAnsi="Bahnschrift"/>
        </w:rPr>
      </w:pPr>
      <w:r w:rsidRPr="00B023D4">
        <w:rPr>
          <w:rFonts w:ascii="Bahnschrift" w:hAnsi="Bahnschrift"/>
        </w:rPr>
        <w:t>financial position at their original cost less depreciation to date, subject to a</w:t>
      </w:r>
    </w:p>
    <w:p w:rsidR="004346B4" w:rsidRDefault="00B023D4" w:rsidP="00B023D4">
      <w:pPr>
        <w:rPr>
          <w:rFonts w:ascii="Bahnschrift" w:hAnsi="Bahnschrift"/>
        </w:rPr>
      </w:pPr>
      <w:r w:rsidRPr="00B023D4">
        <w:rPr>
          <w:rFonts w:ascii="Bahnschrift" w:hAnsi="Bahnschrift"/>
        </w:rPr>
        <w:t>possible impairment write-down.</w:t>
      </w:r>
    </w:p>
    <w:p w:rsidR="00B023D4" w:rsidRDefault="00B023D4" w:rsidP="00B023D4">
      <w:pPr>
        <w:rPr>
          <w:rFonts w:ascii="Bahnschrift" w:hAnsi="Bahnschrift"/>
        </w:rPr>
      </w:pPr>
      <w:r w:rsidRPr="00B023D4">
        <w:rPr>
          <w:rFonts w:ascii="Bahnschrift" w:hAnsi="Bahnschrift"/>
          <w:b/>
        </w:rPr>
        <w:t>Going Concern Concept</w:t>
      </w:r>
      <w:r>
        <w:rPr>
          <w:rFonts w:ascii="Bahnschrift" w:hAnsi="Bahnschrift"/>
        </w:rPr>
        <w:t xml:space="preserve">: </w:t>
      </w:r>
      <w:r w:rsidRPr="00B023D4">
        <w:rPr>
          <w:rFonts w:ascii="Bahnschrift" w:hAnsi="Bahnschrift"/>
        </w:rPr>
        <w:t>Assumed that a business will continue i</w:t>
      </w:r>
      <w:r>
        <w:rPr>
          <w:rFonts w:ascii="Bahnschrift" w:hAnsi="Bahnschrift"/>
        </w:rPr>
        <w:t xml:space="preserve">ndefinitely in its present form </w:t>
      </w:r>
      <w:r w:rsidRPr="00B023D4">
        <w:rPr>
          <w:rFonts w:ascii="Bahnschrift" w:hAnsi="Bahnschrift"/>
        </w:rPr>
        <w:t>to support the cost concept of accounting</w:t>
      </w:r>
      <w:r>
        <w:rPr>
          <w:rFonts w:ascii="Bahnschrift" w:hAnsi="Bahnschrift"/>
        </w:rPr>
        <w:t>.</w:t>
      </w:r>
    </w:p>
    <w:p w:rsidR="00B023D4" w:rsidRPr="00CF08E4" w:rsidRDefault="00B023D4" w:rsidP="00B023D4">
      <w:pPr>
        <w:rPr>
          <w:rFonts w:ascii="Bahnschrift" w:hAnsi="Bahnschrift"/>
        </w:rPr>
      </w:pPr>
    </w:p>
    <w:p w:rsidR="00B773F1" w:rsidRPr="00B773F1" w:rsidRDefault="00B773F1" w:rsidP="00B773F1">
      <w:pPr>
        <w:rPr>
          <w:rFonts w:ascii="Bahnschrift" w:eastAsia="Calibri" w:hAnsi="Bahnschrift" w:cs="Times New Roman"/>
        </w:rPr>
      </w:pPr>
      <w:r w:rsidRPr="00B773F1">
        <w:rPr>
          <w:rFonts w:ascii="Bahnschrift" w:eastAsia="Calibri" w:hAnsi="Bahnschrift" w:cs="Times New Roman"/>
        </w:rPr>
        <w:t xml:space="preserve">ii) Key guiding principles for setting accounting policies for unusual transactions are – </w:t>
      </w:r>
    </w:p>
    <w:p w:rsidR="00B773F1" w:rsidRPr="00B773F1" w:rsidRDefault="00B773F1" w:rsidP="00B773F1">
      <w:pPr>
        <w:rPr>
          <w:rFonts w:ascii="Bahnschrift" w:eastAsia="Calibri" w:hAnsi="Bahnschrift" w:cs="Times New Roman"/>
        </w:rPr>
      </w:pPr>
      <w:r w:rsidRPr="00B773F1">
        <w:rPr>
          <w:rFonts w:ascii="Bahnschrift" w:eastAsia="Calibri" w:hAnsi="Bahnschrift" w:cs="Times New Roman"/>
        </w:rPr>
        <w:t>a) There is a general requirement that the financial statements give a true and fair view. Amongst other things, that any treatment gives a realistic and representative treatment of the transaction.</w:t>
      </w:r>
    </w:p>
    <w:p w:rsidR="00B773F1" w:rsidRPr="00B773F1" w:rsidRDefault="00B773F1" w:rsidP="00B773F1">
      <w:pPr>
        <w:rPr>
          <w:rFonts w:ascii="Bahnschrift" w:eastAsia="Calibri" w:hAnsi="Bahnschrift" w:cs="Times New Roman"/>
        </w:rPr>
      </w:pPr>
      <w:r w:rsidRPr="00B773F1">
        <w:rPr>
          <w:rFonts w:ascii="Bahnschrift" w:eastAsia="Calibri" w:hAnsi="Bahnschrift" w:cs="Times New Roman"/>
        </w:rPr>
        <w:t xml:space="preserve"> b) The guidance provided by Accounting Regulations Board in this regard should be considered. For example, the objectives of relevance, reliability, comparability and </w:t>
      </w:r>
      <w:r w:rsidRPr="00CF08E4">
        <w:rPr>
          <w:rFonts w:ascii="Bahnschrift" w:eastAsia="Calibri" w:hAnsi="Bahnschrift" w:cs="Times New Roman"/>
        </w:rPr>
        <w:t>understand ability</w:t>
      </w:r>
      <w:r w:rsidRPr="00B773F1">
        <w:rPr>
          <w:rFonts w:ascii="Bahnschrift" w:eastAsia="Calibri" w:hAnsi="Bahnschrift" w:cs="Times New Roman"/>
        </w:rPr>
        <w:t xml:space="preserve"> should be applied. </w:t>
      </w:r>
    </w:p>
    <w:p w:rsidR="00B773F1" w:rsidRDefault="00B773F1" w:rsidP="00B773F1">
      <w:pPr>
        <w:rPr>
          <w:rFonts w:ascii="Bahnschrift" w:eastAsia="Calibri" w:hAnsi="Bahnschrift" w:cs="Times New Roman"/>
        </w:rPr>
      </w:pPr>
      <w:r w:rsidRPr="00B773F1">
        <w:rPr>
          <w:rFonts w:ascii="Bahnschrift" w:eastAsia="Calibri" w:hAnsi="Bahnschrift" w:cs="Times New Roman"/>
        </w:rPr>
        <w:t xml:space="preserve">c) The directors might consider looking at the treatment laid down by standards for similar balances, even though those standards might not be strictly applicable. That would ensure that the logic underlying the chosen treatment was consistent with good accounting practice. </w:t>
      </w:r>
    </w:p>
    <w:p w:rsidR="00CF08E4" w:rsidRPr="00B773F1" w:rsidRDefault="00CF08E4" w:rsidP="00B773F1">
      <w:pPr>
        <w:rPr>
          <w:rFonts w:ascii="Bahnschrift" w:eastAsia="Calibri" w:hAnsi="Bahnschrift" w:cs="Times New Roman"/>
        </w:rPr>
      </w:pPr>
    </w:p>
    <w:p w:rsidR="00B773F1" w:rsidRPr="00CF08E4" w:rsidRDefault="00B773F1" w:rsidP="00B773F1">
      <w:pPr>
        <w:rPr>
          <w:rFonts w:ascii="Bahnschrift" w:eastAsia="Calibri" w:hAnsi="Bahnschrift" w:cs="Times New Roman"/>
        </w:rPr>
      </w:pPr>
      <w:r w:rsidRPr="00B773F1">
        <w:rPr>
          <w:rFonts w:ascii="Bahnschrift" w:eastAsia="Calibri" w:hAnsi="Bahnschrift" w:cs="Times New Roman"/>
        </w:rPr>
        <w:t xml:space="preserve"> iii) Most of the optimism in making accounting choices is quite visible to the analysts and market participants. For example, companies publish their accounting policies and so it is possible to tell whether a particular approach has been followed and accordingly opinions formed about the price. The stock market examines information carefully to ensure that it does not misprice securities. If shares are </w:t>
      </w:r>
      <w:r w:rsidRPr="00CF08E4">
        <w:rPr>
          <w:rFonts w:ascii="Bahnschrift" w:eastAsia="Calibri" w:hAnsi="Bahnschrift" w:cs="Times New Roman"/>
        </w:rPr>
        <w:t>overpriced,</w:t>
      </w:r>
      <w:r w:rsidRPr="00B773F1">
        <w:rPr>
          <w:rFonts w:ascii="Bahnschrift" w:eastAsia="Calibri" w:hAnsi="Bahnschrift" w:cs="Times New Roman"/>
        </w:rPr>
        <w:t xml:space="preserve"> then there will be opportunities for astute market participants to make profits by identifying the overpriced companies and selling shares. Market forces would push the shares down and these activities would also draw attention to the distortion. Markets usually reward companies with good corporate governance which is also reflected from the conservativeness of estimates and accounting policies. Conservative policies also provide ability to the company to present more smooth results in volatile times which can work in favour of its stock price.</w:t>
      </w:r>
    </w:p>
    <w:p w:rsidR="00B773F1" w:rsidRPr="00CF08E4" w:rsidRDefault="00B773F1" w:rsidP="00B773F1">
      <w:pPr>
        <w:rPr>
          <w:rFonts w:ascii="Bahnschrift" w:eastAsia="Calibri" w:hAnsi="Bahnschrift" w:cs="Times New Roman"/>
        </w:rPr>
      </w:pPr>
    </w:p>
    <w:p w:rsidR="00B773F1" w:rsidRDefault="00B773F1" w:rsidP="00B773F1">
      <w:pPr>
        <w:rPr>
          <w:rFonts w:ascii="Calibri" w:eastAsia="Calibri" w:hAnsi="Calibri" w:cs="Times New Roman"/>
        </w:rPr>
      </w:pPr>
    </w:p>
    <w:p w:rsidR="00B773F1" w:rsidRDefault="00B773F1" w:rsidP="00B773F1">
      <w:pPr>
        <w:rPr>
          <w:rFonts w:ascii="Calibri" w:eastAsia="Calibri" w:hAnsi="Calibri" w:cs="Times New Roman"/>
        </w:rPr>
      </w:pPr>
    </w:p>
    <w:p w:rsidR="00B773F1" w:rsidRDefault="00B773F1" w:rsidP="00B773F1">
      <w:pPr>
        <w:rPr>
          <w:rFonts w:ascii="Calibri" w:eastAsia="Calibri" w:hAnsi="Calibri" w:cs="Times New Roman"/>
        </w:rPr>
      </w:pPr>
    </w:p>
    <w:p w:rsidR="00B773F1" w:rsidRDefault="00B773F1" w:rsidP="00B773F1">
      <w:pPr>
        <w:rPr>
          <w:rFonts w:ascii="Calibri" w:eastAsia="Calibri" w:hAnsi="Calibri" w:cs="Times New Roman"/>
        </w:rPr>
      </w:pPr>
    </w:p>
    <w:p w:rsidR="00B773F1" w:rsidRDefault="00B773F1" w:rsidP="00B773F1">
      <w:pPr>
        <w:rPr>
          <w:rFonts w:ascii="Calibri" w:eastAsia="Calibri" w:hAnsi="Calibri" w:cs="Times New Roman"/>
        </w:rPr>
      </w:pPr>
    </w:p>
    <w:p w:rsidR="00B773F1" w:rsidRDefault="00B773F1" w:rsidP="00B773F1">
      <w:pPr>
        <w:rPr>
          <w:rFonts w:ascii="Calibri" w:eastAsia="Calibri" w:hAnsi="Calibri" w:cs="Times New Roman"/>
        </w:rPr>
      </w:pPr>
    </w:p>
    <w:p w:rsidR="00B773F1" w:rsidRDefault="00B773F1" w:rsidP="00B773F1">
      <w:pPr>
        <w:rPr>
          <w:rFonts w:ascii="Calibri" w:eastAsia="Calibri" w:hAnsi="Calibri" w:cs="Times New Roman"/>
        </w:rPr>
      </w:pPr>
    </w:p>
    <w:p w:rsidR="00B773F1" w:rsidRDefault="00B773F1" w:rsidP="00B773F1">
      <w:pPr>
        <w:rPr>
          <w:rFonts w:ascii="Calibri" w:eastAsia="Calibri" w:hAnsi="Calibri" w:cs="Times New Roman"/>
        </w:rPr>
      </w:pPr>
    </w:p>
    <w:p w:rsidR="00B773F1" w:rsidRPr="00B773F1" w:rsidRDefault="00B773F1" w:rsidP="00B773F1">
      <w:pPr>
        <w:rPr>
          <w:rFonts w:ascii="Calibri" w:eastAsia="Calibri" w:hAnsi="Calibri" w:cs="Times New Roman"/>
        </w:rPr>
      </w:pPr>
    </w:p>
    <w:p w:rsidR="00B773F1" w:rsidRPr="00B773F1" w:rsidRDefault="00B773F1" w:rsidP="00B773F1">
      <w:pPr>
        <w:rPr>
          <w:rFonts w:ascii="Arial" w:eastAsia="Calibri" w:hAnsi="Arial" w:cs="Arial"/>
        </w:rPr>
      </w:pPr>
      <w:r w:rsidRPr="00B773F1">
        <w:rPr>
          <w:rFonts w:ascii="Arial" w:eastAsia="Calibri" w:hAnsi="Arial" w:cs="Arial"/>
        </w:rPr>
        <w:t xml:space="preserve">10. </w:t>
      </w:r>
    </w:p>
    <w:tbl>
      <w:tblPr>
        <w:tblStyle w:val="TableGrid"/>
        <w:tblW w:w="0" w:type="auto"/>
        <w:tblLook w:val="04A0" w:firstRow="1" w:lastRow="0" w:firstColumn="1" w:lastColumn="0" w:noHBand="0" w:noVBand="1"/>
      </w:tblPr>
      <w:tblGrid>
        <w:gridCol w:w="1559"/>
        <w:gridCol w:w="2151"/>
        <w:gridCol w:w="2768"/>
        <w:gridCol w:w="2538"/>
      </w:tblGrid>
      <w:tr w:rsidR="00B773F1" w:rsidRPr="00B773F1" w:rsidTr="003056C5">
        <w:tc>
          <w:tcPr>
            <w:tcW w:w="2479" w:type="dxa"/>
          </w:tcPr>
          <w:p w:rsidR="00B773F1" w:rsidRPr="00B773F1" w:rsidRDefault="00B773F1" w:rsidP="00B773F1">
            <w:pPr>
              <w:rPr>
                <w:rFonts w:ascii="Bahnschrift" w:eastAsia="Calibri" w:hAnsi="Bahnschrift" w:cs="Arial"/>
              </w:rPr>
            </w:pP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rPr>
              <w:t>ROLE</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rPr>
              <w:t>SOURCE</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rPr>
              <w:t>APPLICATION OF FUNDS</w:t>
            </w:r>
          </w:p>
        </w:tc>
      </w:tr>
      <w:tr w:rsidR="00B773F1" w:rsidRPr="00B773F1" w:rsidTr="003056C5">
        <w:tc>
          <w:tcPr>
            <w:tcW w:w="2479" w:type="dxa"/>
          </w:tcPr>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Investment bank </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color w:val="202124"/>
                <w:shd w:val="clear" w:color="auto" w:fill="FFFFFF"/>
              </w:rPr>
              <w:t>. The primary </w:t>
            </w:r>
            <w:r w:rsidRPr="00B773F1">
              <w:rPr>
                <w:rFonts w:ascii="Bahnschrift" w:eastAsia="Calibri" w:hAnsi="Bahnschrift" w:cs="Arial"/>
                <w:b/>
                <w:bCs/>
                <w:color w:val="202124"/>
                <w:shd w:val="clear" w:color="auto" w:fill="FFFFFF"/>
              </w:rPr>
              <w:t>role</w:t>
            </w:r>
            <w:r w:rsidRPr="00B773F1">
              <w:rPr>
                <w:rFonts w:ascii="Bahnschrift" w:eastAsia="Calibri" w:hAnsi="Bahnschrift" w:cs="Arial"/>
                <w:color w:val="202124"/>
                <w:shd w:val="clear" w:color="auto" w:fill="FFFFFF"/>
              </w:rPr>
              <w:t> of an </w:t>
            </w:r>
            <w:r w:rsidRPr="00B773F1">
              <w:rPr>
                <w:rFonts w:ascii="Bahnschrift" w:eastAsia="Calibri" w:hAnsi="Bahnschrift" w:cs="Arial"/>
                <w:b/>
                <w:bCs/>
                <w:color w:val="202124"/>
                <w:shd w:val="clear" w:color="auto" w:fill="FFFFFF"/>
              </w:rPr>
              <w:t>investment</w:t>
            </w:r>
            <w:r w:rsidRPr="00B773F1">
              <w:rPr>
                <w:rFonts w:ascii="Bahnschrift" w:eastAsia="Calibri" w:hAnsi="Bahnschrift" w:cs="Arial"/>
                <w:color w:val="202124"/>
                <w:shd w:val="clear" w:color="auto" w:fill="FFFFFF"/>
              </w:rPr>
              <w:t> bank is to advise government and businesses on how to meet their financial needs and help procure their finances</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b/>
                <w:bCs/>
                <w:color w:val="202124"/>
                <w:shd w:val="clear" w:color="auto" w:fill="FFFFFF"/>
              </w:rPr>
              <w:t>Investment banks</w:t>
            </w:r>
            <w:r w:rsidRPr="00B773F1">
              <w:rPr>
                <w:rFonts w:ascii="Bahnschrift" w:eastAsia="Calibri" w:hAnsi="Bahnschrift" w:cs="Arial"/>
                <w:color w:val="202124"/>
                <w:shd w:val="clear" w:color="auto" w:fill="FFFFFF"/>
              </w:rPr>
              <w:t> primarily help clients raise money through debt and equity offerings. This includes raising </w:t>
            </w:r>
            <w:r w:rsidRPr="00B773F1">
              <w:rPr>
                <w:rFonts w:ascii="Bahnschrift" w:eastAsia="Calibri" w:hAnsi="Bahnschrift" w:cs="Arial"/>
                <w:b/>
                <w:bCs/>
                <w:color w:val="202124"/>
                <w:shd w:val="clear" w:color="auto" w:fill="FFFFFF"/>
              </w:rPr>
              <w:t>funds</w:t>
            </w:r>
            <w:r w:rsidRPr="00B773F1">
              <w:rPr>
                <w:rFonts w:ascii="Bahnschrift" w:eastAsia="Calibri" w:hAnsi="Bahnschrift" w:cs="Arial"/>
                <w:color w:val="202124"/>
                <w:shd w:val="clear" w:color="auto" w:fill="FFFFFF"/>
              </w:rPr>
              <w:t> through Initial Public Offerings (IPOs), credit facilities with the </w:t>
            </w:r>
            <w:r w:rsidRPr="00B773F1">
              <w:rPr>
                <w:rFonts w:ascii="Bahnschrift" w:eastAsia="Calibri" w:hAnsi="Bahnschrift" w:cs="Arial"/>
                <w:b/>
                <w:bCs/>
                <w:color w:val="202124"/>
                <w:shd w:val="clear" w:color="auto" w:fill="FFFFFF"/>
              </w:rPr>
              <w:t>bank</w:t>
            </w:r>
            <w:r w:rsidRPr="00B773F1">
              <w:rPr>
                <w:rFonts w:ascii="Bahnschrift" w:eastAsia="Calibri" w:hAnsi="Bahnschrift" w:cs="Arial"/>
                <w:color w:val="202124"/>
                <w:shd w:val="clear" w:color="auto" w:fill="FFFFFF"/>
              </w:rPr>
              <w:t>, selling shares to investors through private placements, or issuing and selling bonds on behalf of the client</w:t>
            </w:r>
          </w:p>
        </w:tc>
        <w:tc>
          <w:tcPr>
            <w:tcW w:w="2179" w:type="dxa"/>
          </w:tcPr>
          <w:p w:rsidR="00B773F1" w:rsidRPr="00B773F1" w:rsidRDefault="00B773F1" w:rsidP="00B773F1">
            <w:pPr>
              <w:rPr>
                <w:rFonts w:ascii="Bahnschrift" w:eastAsia="Calibri" w:hAnsi="Bahnschrift" w:cs="Arial"/>
              </w:rPr>
            </w:pPr>
          </w:p>
        </w:tc>
      </w:tr>
      <w:tr w:rsidR="00B773F1" w:rsidRPr="00B773F1" w:rsidTr="003056C5">
        <w:tc>
          <w:tcPr>
            <w:tcW w:w="2479" w:type="dxa"/>
          </w:tcPr>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Pension </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b/>
                <w:bCs/>
                <w:color w:val="202124"/>
                <w:shd w:val="clear" w:color="auto" w:fill="FFFFFF"/>
              </w:rPr>
              <w:t>pension</w:t>
            </w:r>
            <w:r w:rsidRPr="00B773F1">
              <w:rPr>
                <w:rFonts w:ascii="Bahnschrift" w:eastAsia="Calibri" w:hAnsi="Bahnschrift" w:cs="Arial"/>
                <w:color w:val="202124"/>
                <w:shd w:val="clear" w:color="auto" w:fill="FFFFFF"/>
              </w:rPr>
              <w:t> schemes can provide protection in the form of lump sums and </w:t>
            </w:r>
            <w:r w:rsidRPr="00B773F1">
              <w:rPr>
                <w:rFonts w:ascii="Bahnschrift" w:eastAsia="Calibri" w:hAnsi="Bahnschrift" w:cs="Arial"/>
                <w:b/>
                <w:bCs/>
                <w:color w:val="202124"/>
                <w:shd w:val="clear" w:color="auto" w:fill="FFFFFF"/>
              </w:rPr>
              <w:t>pensions</w:t>
            </w:r>
            <w:r w:rsidRPr="00B773F1">
              <w:rPr>
                <w:rFonts w:ascii="Bahnschrift" w:eastAsia="Calibri" w:hAnsi="Bahnschrift" w:cs="Arial"/>
                <w:color w:val="202124"/>
                <w:shd w:val="clear" w:color="auto" w:fill="FFFFFF"/>
              </w:rPr>
              <w:t> to de</w:t>
            </w:r>
            <w:bookmarkStart w:id="0" w:name="_GoBack"/>
            <w:bookmarkEnd w:id="0"/>
            <w:r w:rsidRPr="00B773F1">
              <w:rPr>
                <w:rFonts w:ascii="Bahnschrift" w:eastAsia="Calibri" w:hAnsi="Bahnschrift" w:cs="Arial"/>
                <w:color w:val="202124"/>
                <w:shd w:val="clear" w:color="auto" w:fill="FFFFFF"/>
              </w:rPr>
              <w:t>pendants in the event of a member's death</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color w:val="202124"/>
                <w:shd w:val="clear" w:color="auto" w:fill="FFFFFF"/>
              </w:rPr>
              <w:t>Pension funds are pooled monetary contributions from pension plans set up by employers, unions, or other organizations to provide for their employees' or members' retirement benefits. Pension funds are the largest </w:t>
            </w:r>
            <w:r w:rsidRPr="00B773F1">
              <w:rPr>
                <w:rFonts w:ascii="Bahnschrift" w:eastAsia="Calibri" w:hAnsi="Bahnschrift" w:cs="Arial"/>
                <w:b/>
                <w:bCs/>
                <w:color w:val="202124"/>
                <w:shd w:val="clear" w:color="auto" w:fill="FFFFFF"/>
              </w:rPr>
              <w:t>investment</w:t>
            </w:r>
            <w:r w:rsidRPr="00B773F1">
              <w:rPr>
                <w:rFonts w:ascii="Bahnschrift" w:eastAsia="Calibri" w:hAnsi="Bahnschrift" w:cs="Arial"/>
                <w:color w:val="202124"/>
                <w:shd w:val="clear" w:color="auto" w:fill="FFFFFF"/>
              </w:rPr>
              <w:t> blocks in most countries and dominate the stock markets where they invest.</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color w:val="4D5156"/>
                <w:sz w:val="21"/>
                <w:szCs w:val="21"/>
                <w:shd w:val="clear" w:color="auto" w:fill="FFFFFF"/>
              </w:rPr>
              <w:t>A </w:t>
            </w:r>
            <w:r w:rsidRPr="00CF08E4">
              <w:rPr>
                <w:rFonts w:ascii="Bahnschrift" w:eastAsia="Calibri" w:hAnsi="Bahnschrift" w:cs="Arial"/>
                <w:b/>
                <w:bCs/>
                <w:color w:val="5F6368"/>
                <w:sz w:val="21"/>
                <w:szCs w:val="21"/>
                <w:shd w:val="clear" w:color="auto" w:fill="FFFFFF"/>
              </w:rPr>
              <w:t>pension fund</w:t>
            </w:r>
            <w:r w:rsidRPr="00B773F1">
              <w:rPr>
                <w:rFonts w:ascii="Bahnschrift" w:eastAsia="Calibri" w:hAnsi="Bahnschrift" w:cs="Arial"/>
                <w:color w:val="4D5156"/>
                <w:sz w:val="21"/>
                <w:szCs w:val="21"/>
                <w:shd w:val="clear" w:color="auto" w:fill="FFFFFF"/>
              </w:rPr>
              <w:t> is a </w:t>
            </w:r>
            <w:r w:rsidRPr="00CF08E4">
              <w:rPr>
                <w:rFonts w:ascii="Bahnschrift" w:eastAsia="Calibri" w:hAnsi="Bahnschrift" w:cs="Arial"/>
                <w:b/>
                <w:bCs/>
                <w:color w:val="5F6368"/>
                <w:sz w:val="21"/>
                <w:szCs w:val="21"/>
                <w:shd w:val="clear" w:color="auto" w:fill="FFFFFF"/>
              </w:rPr>
              <w:t>fund</w:t>
            </w:r>
            <w:r w:rsidRPr="00B773F1">
              <w:rPr>
                <w:rFonts w:ascii="Bahnschrift" w:eastAsia="Calibri" w:hAnsi="Bahnschrift" w:cs="Arial"/>
                <w:color w:val="4D5156"/>
                <w:sz w:val="21"/>
                <w:szCs w:val="21"/>
                <w:shd w:val="clear" w:color="auto" w:fill="FFFFFF"/>
              </w:rPr>
              <w:t> that accumulates capital to be paid out as a </w:t>
            </w:r>
            <w:r w:rsidRPr="00CF08E4">
              <w:rPr>
                <w:rFonts w:ascii="Bahnschrift" w:eastAsia="Calibri" w:hAnsi="Bahnschrift" w:cs="Arial"/>
                <w:b/>
                <w:bCs/>
                <w:color w:val="5F6368"/>
                <w:sz w:val="21"/>
                <w:szCs w:val="21"/>
                <w:shd w:val="clear" w:color="auto" w:fill="FFFFFF"/>
              </w:rPr>
              <w:t>pension</w:t>
            </w:r>
            <w:r w:rsidRPr="00B773F1">
              <w:rPr>
                <w:rFonts w:ascii="Bahnschrift" w:eastAsia="Calibri" w:hAnsi="Bahnschrift" w:cs="Arial"/>
                <w:color w:val="4D5156"/>
                <w:sz w:val="21"/>
                <w:szCs w:val="21"/>
                <w:shd w:val="clear" w:color="auto" w:fill="FFFFFF"/>
              </w:rPr>
              <w:t> for employees when they retire at the end of their careers.</w:t>
            </w:r>
          </w:p>
        </w:tc>
      </w:tr>
      <w:tr w:rsidR="00B773F1" w:rsidRPr="00B773F1" w:rsidTr="003056C5">
        <w:tc>
          <w:tcPr>
            <w:tcW w:w="2479" w:type="dxa"/>
          </w:tcPr>
          <w:p w:rsidR="00B773F1" w:rsidRPr="00B773F1" w:rsidRDefault="00B773F1" w:rsidP="00B773F1">
            <w:pPr>
              <w:rPr>
                <w:rFonts w:ascii="Bahnschrift" w:eastAsia="Calibri" w:hAnsi="Bahnschrift" w:cs="Arial"/>
              </w:rPr>
            </w:pPr>
            <w:r w:rsidRPr="00B773F1">
              <w:rPr>
                <w:rFonts w:ascii="Bahnschrift" w:eastAsia="Calibri" w:hAnsi="Bahnschrift" w:cs="Arial"/>
              </w:rPr>
              <w:t>Life insurance</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b/>
                <w:bCs/>
                <w:color w:val="202124"/>
                <w:shd w:val="clear" w:color="auto" w:fill="FFFFFF"/>
              </w:rPr>
              <w:t>Life insurance</w:t>
            </w:r>
            <w:r w:rsidRPr="00B773F1">
              <w:rPr>
                <w:rFonts w:ascii="Bahnschrift" w:eastAsia="Calibri" w:hAnsi="Bahnschrift" w:cs="Arial"/>
                <w:color w:val="202124"/>
                <w:shd w:val="clear" w:color="auto" w:fill="FFFFFF"/>
              </w:rPr>
              <w:t> is important, as it protects your family and lets you leave them a non-taxable amount at the time of death. It is also used to cover your mortgage and your personal loans</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color w:val="202124"/>
                <w:shd w:val="clear" w:color="auto" w:fill="FFFFFF"/>
              </w:rPr>
              <w:t>Most of the revenue received by </w:t>
            </w:r>
            <w:r w:rsidRPr="00B773F1">
              <w:rPr>
                <w:rFonts w:ascii="Bahnschrift" w:eastAsia="Calibri" w:hAnsi="Bahnschrift" w:cs="Arial"/>
                <w:b/>
                <w:bCs/>
                <w:color w:val="202124"/>
                <w:shd w:val="clear" w:color="auto" w:fill="FFFFFF"/>
              </w:rPr>
              <w:t>insurance</w:t>
            </w:r>
            <w:r w:rsidRPr="00B773F1">
              <w:rPr>
                <w:rFonts w:ascii="Bahnschrift" w:eastAsia="Calibri" w:hAnsi="Bahnschrift" w:cs="Arial"/>
                <w:color w:val="202124"/>
                <w:shd w:val="clear" w:color="auto" w:fill="FFFFFF"/>
              </w:rPr>
              <w:t> companies consists of premiums, but revenue from investing the premiums forms an important </w:t>
            </w:r>
            <w:r w:rsidRPr="00B773F1">
              <w:rPr>
                <w:rFonts w:ascii="Bahnschrift" w:eastAsia="Calibri" w:hAnsi="Bahnschrift" w:cs="Arial"/>
                <w:b/>
                <w:bCs/>
                <w:color w:val="202124"/>
                <w:shd w:val="clear" w:color="auto" w:fill="FFFFFF"/>
              </w:rPr>
              <w:t>source</w:t>
            </w:r>
            <w:r w:rsidRPr="00B773F1">
              <w:rPr>
                <w:rFonts w:ascii="Bahnschrift" w:eastAsia="Calibri" w:hAnsi="Bahnschrift" w:cs="Arial"/>
                <w:color w:val="202124"/>
                <w:shd w:val="clear" w:color="auto" w:fill="FFFFFF"/>
              </w:rPr>
              <w:t> of profit for most </w:t>
            </w:r>
            <w:r w:rsidRPr="00B773F1">
              <w:rPr>
                <w:rFonts w:ascii="Bahnschrift" w:eastAsia="Calibri" w:hAnsi="Bahnschrift" w:cs="Arial"/>
                <w:b/>
                <w:bCs/>
                <w:color w:val="202124"/>
                <w:shd w:val="clear" w:color="auto" w:fill="FFFFFF"/>
              </w:rPr>
              <w:t>life insurance</w:t>
            </w:r>
            <w:r w:rsidRPr="00B773F1">
              <w:rPr>
                <w:rFonts w:ascii="Bahnschrift" w:eastAsia="Calibri" w:hAnsi="Bahnschrift" w:cs="Arial"/>
                <w:color w:val="202124"/>
                <w:shd w:val="clear" w:color="auto" w:fill="FFFFFF"/>
              </w:rPr>
              <w:t> companies.</w:t>
            </w:r>
          </w:p>
        </w:tc>
        <w:tc>
          <w:tcPr>
            <w:tcW w:w="2179" w:type="dxa"/>
          </w:tcPr>
          <w:p w:rsidR="00B773F1" w:rsidRPr="00B773F1" w:rsidRDefault="00B773F1" w:rsidP="00B773F1">
            <w:pPr>
              <w:rPr>
                <w:rFonts w:ascii="Bahnschrift" w:eastAsia="Calibri" w:hAnsi="Bahnschrift" w:cs="Arial"/>
              </w:rPr>
            </w:pPr>
            <w:r w:rsidRPr="00B773F1">
              <w:rPr>
                <w:rFonts w:ascii="Bahnschrift" w:eastAsia="Calibri" w:hAnsi="Bahnschrift" w:cs="Arial"/>
                <w:b/>
                <w:bCs/>
                <w:color w:val="202124"/>
                <w:shd w:val="clear" w:color="auto" w:fill="FFFFFF"/>
              </w:rPr>
              <w:t>Life insurers invest</w:t>
            </w:r>
            <w:r w:rsidRPr="00B773F1">
              <w:rPr>
                <w:rFonts w:ascii="Bahnschrift" w:eastAsia="Calibri" w:hAnsi="Bahnschrift" w:cs="Arial"/>
                <w:color w:val="202124"/>
                <w:shd w:val="clear" w:color="auto" w:fill="FFFFFF"/>
              </w:rPr>
              <w:t> premiums that they receive from customers. They generally choose assets with features that are aligned with the characteristics of the </w:t>
            </w:r>
            <w:r w:rsidRPr="00B773F1">
              <w:rPr>
                <w:rFonts w:ascii="Bahnschrift" w:eastAsia="Calibri" w:hAnsi="Bahnschrift" w:cs="Arial"/>
                <w:b/>
                <w:bCs/>
                <w:color w:val="202124"/>
                <w:shd w:val="clear" w:color="auto" w:fill="FFFFFF"/>
              </w:rPr>
              <w:t>insurance</w:t>
            </w:r>
            <w:r w:rsidRPr="00B773F1">
              <w:rPr>
                <w:rFonts w:ascii="Bahnschrift" w:eastAsia="Calibri" w:hAnsi="Bahnschrift" w:cs="Arial"/>
                <w:color w:val="202124"/>
                <w:shd w:val="clear" w:color="auto" w:fill="FFFFFF"/>
              </w:rPr>
              <w:t> products that they sell. For example, proceeds from a long-term </w:t>
            </w:r>
            <w:r w:rsidRPr="00B773F1">
              <w:rPr>
                <w:rFonts w:ascii="Bahnschrift" w:eastAsia="Calibri" w:hAnsi="Bahnschrift" w:cs="Arial"/>
                <w:b/>
                <w:bCs/>
                <w:color w:val="202124"/>
                <w:shd w:val="clear" w:color="auto" w:fill="FFFFFF"/>
              </w:rPr>
              <w:t>insurance</w:t>
            </w:r>
            <w:r w:rsidRPr="00B773F1">
              <w:rPr>
                <w:rFonts w:ascii="Bahnschrift" w:eastAsia="Calibri" w:hAnsi="Bahnschrift" w:cs="Arial"/>
                <w:color w:val="202124"/>
                <w:shd w:val="clear" w:color="auto" w:fill="FFFFFF"/>
              </w:rPr>
              <w:t> product would be </w:t>
            </w:r>
            <w:r w:rsidRPr="00B773F1">
              <w:rPr>
                <w:rFonts w:ascii="Bahnschrift" w:eastAsia="Calibri" w:hAnsi="Bahnschrift" w:cs="Arial"/>
                <w:b/>
                <w:bCs/>
                <w:color w:val="202124"/>
                <w:shd w:val="clear" w:color="auto" w:fill="FFFFFF"/>
              </w:rPr>
              <w:t>invested</w:t>
            </w:r>
            <w:r w:rsidRPr="00B773F1">
              <w:rPr>
                <w:rFonts w:ascii="Bahnschrift" w:eastAsia="Calibri" w:hAnsi="Bahnschrift" w:cs="Arial"/>
                <w:color w:val="202124"/>
                <w:shd w:val="clear" w:color="auto" w:fill="FFFFFF"/>
              </w:rPr>
              <w:t> in a long- duration asset.</w:t>
            </w:r>
          </w:p>
        </w:tc>
      </w:tr>
    </w:tbl>
    <w:p w:rsidR="00B773F1" w:rsidRPr="00B773F1" w:rsidRDefault="00B773F1" w:rsidP="00B773F1">
      <w:pPr>
        <w:rPr>
          <w:rFonts w:ascii="Bahnschrift" w:eastAsia="Calibri" w:hAnsi="Bahnschrift" w:cs="Arial"/>
        </w:rPr>
      </w:pPr>
    </w:p>
    <w:p w:rsidR="00B773F1" w:rsidRPr="00B773F1" w:rsidRDefault="00B773F1" w:rsidP="00B773F1">
      <w:pPr>
        <w:rPr>
          <w:rFonts w:ascii="Bahnschrift" w:eastAsia="Calibri" w:hAnsi="Bahnschrift" w:cs="Arial"/>
        </w:rPr>
      </w:pPr>
      <w:r w:rsidRPr="00B773F1">
        <w:rPr>
          <w:rFonts w:ascii="Bahnschrift" w:eastAsia="Calibri" w:hAnsi="Bahnschrift" w:cs="Arial"/>
        </w:rPr>
        <w:lastRenderedPageBreak/>
        <w:t xml:space="preserve">11. The challenges and limitations faced by insurance companies </w:t>
      </w:r>
      <w:r w:rsidRPr="00CF08E4">
        <w:rPr>
          <w:rFonts w:ascii="Bahnschrift" w:eastAsia="Calibri" w:hAnsi="Bahnschrift" w:cs="Arial"/>
        </w:rPr>
        <w:t>are:</w:t>
      </w:r>
      <w:r w:rsidRPr="00B773F1">
        <w:rPr>
          <w:rFonts w:ascii="Bahnschrift" w:eastAsia="Calibri" w:hAnsi="Bahnschrift" w:cs="Arial"/>
        </w:rPr>
        <w:t xml:space="preserve"> </w:t>
      </w:r>
    </w:p>
    <w:p w:rsidR="00B773F1" w:rsidRPr="00B773F1" w:rsidRDefault="00B773F1" w:rsidP="00B773F1">
      <w:pPr>
        <w:numPr>
          <w:ilvl w:val="0"/>
          <w:numId w:val="2"/>
        </w:numPr>
        <w:contextualSpacing/>
        <w:rPr>
          <w:rFonts w:ascii="Bahnschrift" w:eastAsia="Calibri" w:hAnsi="Bahnschrift" w:cs="Arial"/>
        </w:rPr>
      </w:pPr>
      <w:r w:rsidRPr="00B773F1">
        <w:rPr>
          <w:rFonts w:ascii="Bahnschrift" w:eastAsia="Calibri" w:hAnsi="Bahnschrift" w:cs="Arial"/>
        </w:rPr>
        <w:t>The underlying liabilities fall outside the accounting year and are uncertain in size</w:t>
      </w:r>
    </w:p>
    <w:p w:rsidR="00B773F1" w:rsidRPr="00B773F1" w:rsidRDefault="00B773F1" w:rsidP="00B773F1">
      <w:pPr>
        <w:numPr>
          <w:ilvl w:val="0"/>
          <w:numId w:val="2"/>
        </w:numPr>
        <w:contextualSpacing/>
        <w:rPr>
          <w:rFonts w:ascii="Bahnschrift" w:eastAsia="Calibri" w:hAnsi="Bahnschrift" w:cs="Arial"/>
        </w:rPr>
      </w:pPr>
      <w:r w:rsidRPr="00B773F1">
        <w:rPr>
          <w:rFonts w:ascii="Bahnschrift" w:eastAsia="Calibri" w:hAnsi="Bahnschrift" w:cs="Arial"/>
        </w:rPr>
        <w:t xml:space="preserve">Premature transfer of profits may endanger financial stability and the ability to meet future liabilities </w:t>
      </w:r>
    </w:p>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12. It is difficult to prepare insurance companies accounts compared to normal accounts </w:t>
      </w:r>
      <w:r w:rsidRPr="00CF08E4">
        <w:rPr>
          <w:rFonts w:ascii="Bahnschrift" w:eastAsia="Calibri" w:hAnsi="Bahnschrift" w:cs="Arial"/>
        </w:rPr>
        <w:t>because:</w:t>
      </w:r>
    </w:p>
    <w:p w:rsidR="00B773F1" w:rsidRPr="00B773F1" w:rsidRDefault="00B773F1" w:rsidP="00B773F1">
      <w:pPr>
        <w:numPr>
          <w:ilvl w:val="0"/>
          <w:numId w:val="2"/>
        </w:numPr>
        <w:contextualSpacing/>
        <w:rPr>
          <w:rFonts w:ascii="Bahnschrift" w:eastAsia="Calibri" w:hAnsi="Bahnschrift" w:cs="Arial"/>
        </w:rPr>
      </w:pPr>
      <w:r w:rsidRPr="00B773F1">
        <w:rPr>
          <w:rFonts w:ascii="Bahnschrift" w:eastAsia="Calibri" w:hAnsi="Bahnschrift" w:cs="Arial"/>
        </w:rPr>
        <w:t>The underlying liabilities fall outside the accounting year and are uncertain in size</w:t>
      </w:r>
    </w:p>
    <w:p w:rsidR="00B773F1" w:rsidRPr="00B773F1" w:rsidRDefault="00B773F1" w:rsidP="00B773F1">
      <w:pPr>
        <w:numPr>
          <w:ilvl w:val="0"/>
          <w:numId w:val="2"/>
        </w:numPr>
        <w:contextualSpacing/>
        <w:rPr>
          <w:rFonts w:ascii="Bahnschrift" w:eastAsia="Calibri" w:hAnsi="Bahnschrift" w:cs="Arial"/>
        </w:rPr>
      </w:pPr>
      <w:r w:rsidRPr="00B773F1">
        <w:rPr>
          <w:rFonts w:ascii="Bahnschrift" w:eastAsia="Calibri" w:hAnsi="Bahnschrift" w:cs="Arial"/>
        </w:rPr>
        <w:t xml:space="preserve">Premature transfer of profits may endanger financial stability and the ability to meet future liabilities </w:t>
      </w:r>
    </w:p>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ii. </w:t>
      </w:r>
    </w:p>
    <w:p w:rsidR="00B773F1" w:rsidRPr="00B773F1" w:rsidRDefault="00B773F1" w:rsidP="00B773F1">
      <w:pPr>
        <w:rPr>
          <w:rFonts w:ascii="Bahnschrift" w:eastAsia="Calibri" w:hAnsi="Bahnschrift" w:cs="Arial"/>
        </w:rPr>
      </w:pPr>
      <w:r w:rsidRPr="00CF08E4">
        <w:rPr>
          <w:rFonts w:ascii="Bahnschrift" w:eastAsia="Calibri" w:hAnsi="Bahnschrift" w:cs="Arial"/>
        </w:rPr>
        <w:t>13.i Advantages</w:t>
      </w:r>
      <w:r w:rsidRPr="00B773F1">
        <w:rPr>
          <w:rFonts w:ascii="Bahnschrift" w:eastAsia="Calibri" w:hAnsi="Bahnschrift" w:cs="Arial"/>
        </w:rPr>
        <w:t xml:space="preserve"> of complying with </w:t>
      </w:r>
      <w:r w:rsidRPr="00CF08E4">
        <w:rPr>
          <w:rFonts w:ascii="Bahnschrift" w:eastAsia="Calibri" w:hAnsi="Bahnschrift" w:cs="Arial"/>
        </w:rPr>
        <w:t>IASB:</w:t>
      </w:r>
    </w:p>
    <w:p w:rsidR="00B773F1" w:rsidRPr="00B773F1" w:rsidRDefault="00B773F1" w:rsidP="00B773F1">
      <w:pPr>
        <w:numPr>
          <w:ilvl w:val="0"/>
          <w:numId w:val="3"/>
        </w:numPr>
        <w:contextualSpacing/>
        <w:rPr>
          <w:rFonts w:ascii="Bahnschrift" w:eastAsia="Calibri" w:hAnsi="Bahnschrift" w:cs="Arial"/>
        </w:rPr>
      </w:pPr>
      <w:r w:rsidRPr="00CF08E4">
        <w:rPr>
          <w:rFonts w:ascii="Bahnschrift" w:eastAsia="Calibri" w:hAnsi="Bahnschrift" w:cs="Arial"/>
        </w:rPr>
        <w:t>They eliminate</w:t>
      </w:r>
      <w:r w:rsidRPr="00B773F1">
        <w:rPr>
          <w:rFonts w:ascii="Bahnschrift" w:eastAsia="Calibri" w:hAnsi="Bahnschrift" w:cs="Arial"/>
        </w:rPr>
        <w:t>, reduce variations between companies in the way they prepare accounts.</w:t>
      </w:r>
    </w:p>
    <w:p w:rsidR="00B773F1" w:rsidRPr="00B773F1" w:rsidRDefault="00B773F1" w:rsidP="00B773F1">
      <w:pPr>
        <w:numPr>
          <w:ilvl w:val="0"/>
          <w:numId w:val="3"/>
        </w:numPr>
        <w:contextualSpacing/>
        <w:rPr>
          <w:rFonts w:ascii="Bahnschrift" w:eastAsia="Calibri" w:hAnsi="Bahnschrift" w:cs="Arial"/>
        </w:rPr>
      </w:pPr>
      <w:r w:rsidRPr="00B773F1">
        <w:rPr>
          <w:rFonts w:ascii="Bahnschrift" w:eastAsia="Calibri" w:hAnsi="Bahnschrift" w:cs="Arial"/>
        </w:rPr>
        <w:t>They oblige company to disclose more information than other laws</w:t>
      </w:r>
    </w:p>
    <w:p w:rsidR="00B773F1" w:rsidRPr="00B773F1" w:rsidRDefault="00B773F1" w:rsidP="00B773F1">
      <w:pPr>
        <w:numPr>
          <w:ilvl w:val="0"/>
          <w:numId w:val="3"/>
        </w:numPr>
        <w:contextualSpacing/>
        <w:rPr>
          <w:rFonts w:ascii="Bahnschrift" w:eastAsia="Calibri" w:hAnsi="Bahnschrift" w:cs="Arial"/>
        </w:rPr>
      </w:pPr>
      <w:r w:rsidRPr="00B773F1">
        <w:rPr>
          <w:rFonts w:ascii="Bahnschrift" w:eastAsia="Calibri" w:hAnsi="Bahnschrift" w:cs="Arial"/>
        </w:rPr>
        <w:t xml:space="preserve">They allow some degree of flexibility that legislation doesn’t </w:t>
      </w:r>
    </w:p>
    <w:p w:rsidR="00B773F1" w:rsidRPr="00B773F1" w:rsidRDefault="00B773F1" w:rsidP="00B773F1">
      <w:pPr>
        <w:numPr>
          <w:ilvl w:val="0"/>
          <w:numId w:val="3"/>
        </w:numPr>
        <w:contextualSpacing/>
        <w:rPr>
          <w:rFonts w:ascii="Bahnschrift" w:eastAsia="Calibri" w:hAnsi="Bahnschrift" w:cs="Arial"/>
        </w:rPr>
      </w:pPr>
      <w:r w:rsidRPr="00B773F1">
        <w:rPr>
          <w:rFonts w:ascii="Bahnschrift" w:eastAsia="Calibri" w:hAnsi="Bahnschrift" w:cs="Arial"/>
        </w:rPr>
        <w:t>The discussion process leading up to a standard being issued focuses attention on a particular area for debate about accounting practice</w:t>
      </w:r>
    </w:p>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Disadvantages of complying with </w:t>
      </w:r>
      <w:r w:rsidRPr="00CF08E4">
        <w:rPr>
          <w:rFonts w:ascii="Bahnschrift" w:eastAsia="Calibri" w:hAnsi="Bahnschrift" w:cs="Arial"/>
        </w:rPr>
        <w:t>IASB:</w:t>
      </w:r>
    </w:p>
    <w:p w:rsidR="00B773F1" w:rsidRPr="00B773F1" w:rsidRDefault="00B773F1" w:rsidP="00B773F1">
      <w:pPr>
        <w:numPr>
          <w:ilvl w:val="0"/>
          <w:numId w:val="4"/>
        </w:numPr>
        <w:contextualSpacing/>
        <w:rPr>
          <w:rFonts w:ascii="Bahnschrift" w:eastAsia="Calibri" w:hAnsi="Bahnschrift" w:cs="Arial"/>
        </w:rPr>
      </w:pPr>
      <w:r w:rsidRPr="00B773F1">
        <w:rPr>
          <w:rFonts w:ascii="Bahnschrift" w:eastAsia="Calibri" w:hAnsi="Bahnschrift" w:cs="Arial"/>
        </w:rPr>
        <w:t>The sets of rules mayn’t be appropriate for all companies in all circumstances</w:t>
      </w:r>
    </w:p>
    <w:p w:rsidR="00B773F1" w:rsidRPr="00B773F1" w:rsidRDefault="00B773F1" w:rsidP="00B773F1">
      <w:pPr>
        <w:numPr>
          <w:ilvl w:val="0"/>
          <w:numId w:val="4"/>
        </w:numPr>
        <w:contextualSpacing/>
        <w:rPr>
          <w:rFonts w:ascii="Bahnschrift" w:eastAsia="Calibri" w:hAnsi="Bahnschrift" w:cs="Arial"/>
        </w:rPr>
      </w:pPr>
      <w:r w:rsidRPr="00B773F1">
        <w:rPr>
          <w:rFonts w:ascii="Bahnschrift" w:eastAsia="Calibri" w:hAnsi="Bahnschrift" w:cs="Arial"/>
        </w:rPr>
        <w:t>Standard setting may not be entirely objective</w:t>
      </w:r>
    </w:p>
    <w:p w:rsidR="00B773F1" w:rsidRPr="00B773F1" w:rsidRDefault="00B773F1" w:rsidP="00B773F1">
      <w:pPr>
        <w:numPr>
          <w:ilvl w:val="0"/>
          <w:numId w:val="4"/>
        </w:numPr>
        <w:contextualSpacing/>
        <w:rPr>
          <w:rFonts w:ascii="Bahnschrift" w:eastAsia="Calibri" w:hAnsi="Bahnschrift" w:cs="Arial"/>
        </w:rPr>
      </w:pPr>
      <w:r w:rsidRPr="00B773F1">
        <w:rPr>
          <w:rFonts w:ascii="Bahnschrift" w:eastAsia="Calibri" w:hAnsi="Bahnschrift" w:cs="Arial"/>
        </w:rPr>
        <w:t>Standards often allow more than one treatment that negates the attempts to ensure conformity between companies</w:t>
      </w:r>
    </w:p>
    <w:p w:rsidR="00B773F1" w:rsidRPr="00B773F1" w:rsidRDefault="00B773F1" w:rsidP="00B773F1">
      <w:pPr>
        <w:numPr>
          <w:ilvl w:val="0"/>
          <w:numId w:val="4"/>
        </w:numPr>
        <w:contextualSpacing/>
        <w:rPr>
          <w:rFonts w:ascii="Bahnschrift" w:eastAsia="Calibri" w:hAnsi="Bahnschrift" w:cs="Arial"/>
        </w:rPr>
      </w:pPr>
      <w:r w:rsidRPr="00B773F1">
        <w:rPr>
          <w:rFonts w:ascii="Bahnschrift" w:eastAsia="Calibri" w:hAnsi="Bahnschrift" w:cs="Arial"/>
        </w:rPr>
        <w:t xml:space="preserve">Some standards are so general as to be meaningless some are too detailed. </w:t>
      </w:r>
    </w:p>
    <w:p w:rsidR="00B773F1" w:rsidRPr="00B773F1" w:rsidRDefault="00B773F1" w:rsidP="00B773F1">
      <w:pPr>
        <w:ind w:left="720"/>
        <w:contextualSpacing/>
        <w:rPr>
          <w:rFonts w:ascii="Bahnschrift" w:eastAsia="Calibri" w:hAnsi="Bahnschrift" w:cs="Arial"/>
        </w:rPr>
      </w:pPr>
    </w:p>
    <w:p w:rsidR="00B773F1" w:rsidRPr="00B773F1" w:rsidRDefault="00B773F1" w:rsidP="00B773F1">
      <w:pPr>
        <w:rPr>
          <w:rFonts w:ascii="Bahnschrift" w:eastAsia="Calibri" w:hAnsi="Bahnschrift" w:cs="Arial"/>
        </w:rPr>
      </w:pPr>
      <w:r w:rsidRPr="00B773F1">
        <w:rPr>
          <w:rFonts w:ascii="Bahnschrift" w:eastAsia="Calibri" w:hAnsi="Bahnschrift" w:cs="Arial"/>
        </w:rPr>
        <w:t>ii.   1 IFRS</w:t>
      </w:r>
    </w:p>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      2 National company laws</w:t>
      </w:r>
    </w:p>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      3 Principles, concepts and conventions</w:t>
      </w:r>
    </w:p>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      4 Stock exchange requirements</w:t>
      </w:r>
    </w:p>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      5 Good practice leading companies</w:t>
      </w:r>
    </w:p>
    <w:p w:rsidR="00B773F1" w:rsidRPr="00B773F1" w:rsidRDefault="00B773F1" w:rsidP="00B773F1">
      <w:pPr>
        <w:rPr>
          <w:rFonts w:ascii="Bahnschrift" w:eastAsia="Calibri" w:hAnsi="Bahnschrift" w:cs="Arial"/>
        </w:rPr>
      </w:pPr>
      <w:r w:rsidRPr="00B773F1">
        <w:rPr>
          <w:rFonts w:ascii="Bahnschrift" w:eastAsia="Calibri" w:hAnsi="Bahnschrift" w:cs="Arial"/>
        </w:rPr>
        <w:t xml:space="preserve">iii. The </w:t>
      </w:r>
      <w:r w:rsidRPr="00CF08E4">
        <w:rPr>
          <w:rFonts w:ascii="Bahnschrift" w:eastAsia="Calibri" w:hAnsi="Bahnschrift" w:cs="Arial"/>
        </w:rPr>
        <w:t>cash flow</w:t>
      </w:r>
      <w:r w:rsidRPr="00B773F1">
        <w:rPr>
          <w:rFonts w:ascii="Bahnschrift" w:eastAsia="Calibri" w:hAnsi="Bahnschrift" w:cs="Arial"/>
        </w:rPr>
        <w:t xml:space="preserve"> statement provides following information that is not available in statement of financial position and comprehensive </w:t>
      </w:r>
      <w:r w:rsidR="009A71D0" w:rsidRPr="00CF08E4">
        <w:rPr>
          <w:rFonts w:ascii="Bahnschrift" w:eastAsia="Calibri" w:hAnsi="Bahnschrift" w:cs="Arial"/>
        </w:rPr>
        <w:t>income:</w:t>
      </w:r>
    </w:p>
    <w:p w:rsidR="00B773F1" w:rsidRPr="00B773F1" w:rsidRDefault="00B773F1" w:rsidP="00B773F1">
      <w:pPr>
        <w:numPr>
          <w:ilvl w:val="0"/>
          <w:numId w:val="5"/>
        </w:numPr>
        <w:contextualSpacing/>
        <w:rPr>
          <w:rFonts w:ascii="Bahnschrift" w:eastAsia="Calibri" w:hAnsi="Bahnschrift" w:cs="Arial"/>
        </w:rPr>
      </w:pPr>
      <w:r w:rsidRPr="00B773F1">
        <w:rPr>
          <w:rFonts w:ascii="Bahnschrift" w:eastAsia="Calibri" w:hAnsi="Bahnschrift" w:cs="Arial"/>
        </w:rPr>
        <w:t>Detailed information on Bank Overdraft – why it increased in spite of a profitable year</w:t>
      </w:r>
    </w:p>
    <w:p w:rsidR="00B773F1" w:rsidRPr="00B773F1" w:rsidRDefault="00B773F1" w:rsidP="00B773F1">
      <w:pPr>
        <w:numPr>
          <w:ilvl w:val="0"/>
          <w:numId w:val="5"/>
        </w:numPr>
        <w:contextualSpacing/>
        <w:rPr>
          <w:rFonts w:ascii="Bahnschrift" w:eastAsia="Calibri" w:hAnsi="Bahnschrift" w:cs="Arial"/>
        </w:rPr>
      </w:pPr>
      <w:r w:rsidRPr="00B773F1">
        <w:rPr>
          <w:rFonts w:ascii="Bahnschrift" w:eastAsia="Calibri" w:hAnsi="Bahnschrift" w:cs="Arial"/>
        </w:rPr>
        <w:t xml:space="preserve">Is the company able to generate cash as opposed to profit, from trading </w:t>
      </w:r>
      <w:r w:rsidRPr="00CF08E4">
        <w:rPr>
          <w:rFonts w:ascii="Bahnschrift" w:eastAsia="Calibri" w:hAnsi="Bahnschrift" w:cs="Arial"/>
        </w:rPr>
        <w:t>activities</w:t>
      </w:r>
    </w:p>
    <w:p w:rsidR="00B773F1" w:rsidRPr="00CF08E4" w:rsidRDefault="00B773F1" w:rsidP="00B773F1">
      <w:pPr>
        <w:numPr>
          <w:ilvl w:val="0"/>
          <w:numId w:val="5"/>
        </w:numPr>
        <w:contextualSpacing/>
        <w:rPr>
          <w:rFonts w:ascii="Bahnschrift" w:eastAsia="Calibri" w:hAnsi="Bahnschrift" w:cs="Arial"/>
        </w:rPr>
      </w:pPr>
      <w:r w:rsidRPr="00B773F1">
        <w:rPr>
          <w:rFonts w:ascii="Bahnschrift" w:eastAsia="Calibri" w:hAnsi="Bahnschrift" w:cs="Arial"/>
        </w:rPr>
        <w:t>What was done to the loan taken during the year</w:t>
      </w: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9A71D0" w:rsidRDefault="009A71D0" w:rsidP="009A71D0">
      <w:pPr>
        <w:contextualSpacing/>
        <w:rPr>
          <w:rFonts w:ascii="Arial" w:eastAsia="Calibri" w:hAnsi="Arial" w:cs="Arial"/>
        </w:rPr>
      </w:pPr>
    </w:p>
    <w:p w:rsidR="00C078EF" w:rsidRDefault="009A71D0" w:rsidP="009A71D0">
      <w:pPr>
        <w:contextualSpacing/>
        <w:rPr>
          <w:rFonts w:ascii="Arial" w:eastAsia="Calibri" w:hAnsi="Arial" w:cs="Arial"/>
          <w:noProof/>
          <w:lang w:eastAsia="en-IN"/>
        </w:rPr>
      </w:pPr>
      <w:r>
        <w:rPr>
          <w:rFonts w:ascii="Arial" w:eastAsia="Calibri" w:hAnsi="Arial" w:cs="Arial"/>
        </w:rPr>
        <w:t xml:space="preserve">14) </w:t>
      </w:r>
    </w:p>
    <w:p w:rsidR="00C078EF" w:rsidRDefault="00C078EF" w:rsidP="009A71D0">
      <w:pPr>
        <w:contextualSpacing/>
        <w:rPr>
          <w:rFonts w:ascii="Arial" w:eastAsia="Calibri" w:hAnsi="Arial" w:cs="Arial"/>
          <w:noProof/>
          <w:lang w:eastAsia="en-IN"/>
        </w:rPr>
      </w:pPr>
    </w:p>
    <w:p w:rsidR="009A71D0" w:rsidRDefault="00C078EF" w:rsidP="009A71D0">
      <w:pPr>
        <w:contextualSpacing/>
        <w:rPr>
          <w:rFonts w:ascii="Arial" w:eastAsia="Calibri" w:hAnsi="Arial" w:cs="Arial"/>
        </w:rPr>
      </w:pPr>
      <w:r>
        <w:rPr>
          <w:rFonts w:ascii="Arial" w:eastAsia="Calibri" w:hAnsi="Arial" w:cs="Arial"/>
          <w:noProof/>
          <w:lang w:eastAsia="en-IN"/>
        </w:rPr>
        <w:drawing>
          <wp:inline distT="0" distB="0" distL="0" distR="0">
            <wp:extent cx="6747011" cy="5060632"/>
            <wp:effectExtent l="508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422_084902.jpg"/>
                    <pic:cNvPicPr/>
                  </pic:nvPicPr>
                  <pic:blipFill>
                    <a:blip r:embed="rId5">
                      <a:extLst>
                        <a:ext uri="{28A0092B-C50C-407E-A947-70E740481C1C}">
                          <a14:useLocalDpi xmlns:a14="http://schemas.microsoft.com/office/drawing/2010/main" val="0"/>
                        </a:ext>
                      </a:extLst>
                    </a:blip>
                    <a:stretch>
                      <a:fillRect/>
                    </a:stretch>
                  </pic:blipFill>
                  <pic:spPr>
                    <a:xfrm rot="16200000">
                      <a:off x="0" y="0"/>
                      <a:ext cx="6750031" cy="5062897"/>
                    </a:xfrm>
                    <a:prstGeom prst="rect">
                      <a:avLst/>
                    </a:prstGeom>
                  </pic:spPr>
                </pic:pic>
              </a:graphicData>
            </a:graphic>
          </wp:inline>
        </w:drawing>
      </w:r>
    </w:p>
    <w:p w:rsidR="00C078EF" w:rsidRDefault="00C078EF" w:rsidP="009A71D0">
      <w:pPr>
        <w:contextualSpacing/>
        <w:rPr>
          <w:rFonts w:ascii="Arial" w:eastAsia="Calibri" w:hAnsi="Arial" w:cs="Arial"/>
        </w:rPr>
      </w:pPr>
      <w:r>
        <w:rPr>
          <w:rFonts w:ascii="Arial" w:eastAsia="Calibri" w:hAnsi="Arial" w:cs="Arial"/>
          <w:noProof/>
          <w:lang w:eastAsia="en-IN"/>
        </w:rPr>
        <w:lastRenderedPageBreak/>
        <w:drawing>
          <wp:inline distT="0" distB="0" distL="0" distR="0">
            <wp:extent cx="5731510" cy="76422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10422_084913.jpg"/>
                    <pic:cNvPicPr/>
                  </pic:nvPicPr>
                  <pic:blipFill>
                    <a:blip r:embed="rId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C078EF" w:rsidRPr="00B773F1" w:rsidRDefault="00C078EF" w:rsidP="009A71D0">
      <w:pPr>
        <w:contextualSpacing/>
        <w:rPr>
          <w:rFonts w:ascii="Arial" w:eastAsia="Calibri" w:hAnsi="Arial" w:cs="Arial"/>
        </w:rPr>
      </w:pPr>
      <w:r>
        <w:rPr>
          <w:rFonts w:ascii="Arial" w:eastAsia="Calibri" w:hAnsi="Arial" w:cs="Arial"/>
          <w:noProof/>
          <w:lang w:eastAsia="en-IN"/>
        </w:rPr>
        <w:lastRenderedPageBreak/>
        <w:drawing>
          <wp:inline distT="0" distB="0" distL="0" distR="0">
            <wp:extent cx="5731510" cy="76422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10422_084922.jpg"/>
                    <pic:cNvPicPr/>
                  </pic:nvPicPr>
                  <pic:blipFill>
                    <a:blip r:embed="rId7">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B773F1" w:rsidRPr="00B773F1" w:rsidRDefault="00B773F1" w:rsidP="00B773F1">
      <w:pPr>
        <w:ind w:left="720"/>
        <w:contextualSpacing/>
        <w:rPr>
          <w:rFonts w:ascii="Arial" w:eastAsia="Calibri" w:hAnsi="Arial" w:cs="Arial"/>
        </w:rPr>
      </w:pPr>
    </w:p>
    <w:p w:rsidR="00B023D4" w:rsidRDefault="00B023D4" w:rsidP="00B023D4">
      <w:pPr>
        <w:rPr>
          <w:rFonts w:ascii="Bahnschrift" w:hAnsi="Bahnschrift"/>
        </w:rPr>
      </w:pPr>
    </w:p>
    <w:p w:rsidR="00B023D4" w:rsidRDefault="00B023D4" w:rsidP="00B023D4">
      <w:pPr>
        <w:rPr>
          <w:rFonts w:ascii="Bahnschrift" w:hAnsi="Bahnschrift"/>
        </w:rPr>
      </w:pPr>
    </w:p>
    <w:p w:rsidR="00C078EF" w:rsidRDefault="00C078EF" w:rsidP="00B023D4">
      <w:pPr>
        <w:rPr>
          <w:rFonts w:ascii="Bahnschrift" w:hAnsi="Bahnschrift"/>
        </w:rPr>
      </w:pPr>
    </w:p>
    <w:p w:rsidR="00C078EF" w:rsidRDefault="00C078EF" w:rsidP="00B023D4">
      <w:pPr>
        <w:rPr>
          <w:rFonts w:ascii="Bahnschrift" w:hAnsi="Bahnschrift"/>
        </w:rPr>
      </w:pPr>
    </w:p>
    <w:p w:rsidR="00C078EF" w:rsidRDefault="00C078EF" w:rsidP="00B023D4">
      <w:pPr>
        <w:rPr>
          <w:rFonts w:ascii="Bahnschrift" w:hAnsi="Bahnschrift"/>
        </w:rPr>
      </w:pPr>
      <w:r>
        <w:rPr>
          <w:rFonts w:ascii="Bahnschrift" w:hAnsi="Bahnschrift"/>
        </w:rPr>
        <w:lastRenderedPageBreak/>
        <w:t xml:space="preserve">15) </w:t>
      </w:r>
    </w:p>
    <w:p w:rsidR="00C078EF" w:rsidRDefault="00C078EF" w:rsidP="00B023D4">
      <w:pPr>
        <w:rPr>
          <w:rFonts w:ascii="Bahnschrift" w:hAnsi="Bahnschrift"/>
        </w:rPr>
      </w:pPr>
      <w:r>
        <w:rPr>
          <w:rFonts w:ascii="Bahnschrift" w:hAnsi="Bahnschrift"/>
          <w:noProof/>
          <w:lang w:eastAsia="en-IN"/>
        </w:rPr>
        <w:drawing>
          <wp:inline distT="0" distB="0" distL="0" distR="0">
            <wp:extent cx="5731510" cy="76422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10422_084950.jpg"/>
                    <pic:cNvPicPr/>
                  </pic:nvPicPr>
                  <pic:blipFill>
                    <a:blip r:embed="rId8">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C078EF" w:rsidRPr="00133F8B" w:rsidRDefault="00C078EF" w:rsidP="00B023D4">
      <w:pPr>
        <w:rPr>
          <w:rFonts w:ascii="Bahnschrift" w:hAnsi="Bahnschrift"/>
        </w:rPr>
      </w:pPr>
      <w:r>
        <w:rPr>
          <w:rFonts w:ascii="Bahnschrift" w:hAnsi="Bahnschrift"/>
          <w:noProof/>
          <w:lang w:eastAsia="en-IN"/>
        </w:rPr>
        <w:lastRenderedPageBreak/>
        <w:drawing>
          <wp:inline distT="0" distB="0" distL="0" distR="0">
            <wp:extent cx="5731510" cy="76422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10422_09025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133F8B" w:rsidRPr="00133F8B" w:rsidRDefault="00C078EF" w:rsidP="00133F8B">
      <w:pPr>
        <w:rPr>
          <w:rFonts w:ascii="Bahnschrift" w:hAnsi="Bahnschrift"/>
          <w:lang w:val="en-US"/>
        </w:rPr>
      </w:pPr>
      <w:r>
        <w:rPr>
          <w:rFonts w:ascii="Bahnschrift" w:hAnsi="Bahnschrift"/>
          <w:noProof/>
          <w:lang w:eastAsia="en-IN"/>
        </w:rPr>
        <w:lastRenderedPageBreak/>
        <w:drawing>
          <wp:inline distT="0" distB="0" distL="0" distR="0">
            <wp:extent cx="5731510" cy="76422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10422_090259.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ED34BC" w:rsidRPr="00ED34BC" w:rsidRDefault="00ED34BC" w:rsidP="00ED34BC">
      <w:pPr>
        <w:pStyle w:val="ListParagraph"/>
        <w:rPr>
          <w:rFonts w:ascii="Bahnschrift" w:hAnsi="Bahnschrift"/>
          <w:lang w:val="en-US"/>
        </w:rPr>
      </w:pPr>
      <w:r>
        <w:rPr>
          <w:rFonts w:ascii="Bahnschrift" w:hAnsi="Bahnschrift"/>
          <w:lang w:val="en-US"/>
        </w:rPr>
        <w:t xml:space="preserve"> </w:t>
      </w:r>
    </w:p>
    <w:sectPr w:rsidR="00ED34BC" w:rsidRPr="00ED34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75856"/>
    <w:multiLevelType w:val="hybridMultilevel"/>
    <w:tmpl w:val="61986164"/>
    <w:lvl w:ilvl="0" w:tplc="40090001">
      <w:start w:val="1"/>
      <w:numFmt w:val="bullet"/>
      <w:lvlText w:val=""/>
      <w:lvlJc w:val="left"/>
      <w:pPr>
        <w:ind w:left="1920" w:hanging="360"/>
      </w:pPr>
      <w:rPr>
        <w:rFonts w:ascii="Symbol" w:hAnsi="Symbol" w:hint="default"/>
      </w:rPr>
    </w:lvl>
    <w:lvl w:ilvl="1" w:tplc="40090003" w:tentative="1">
      <w:start w:val="1"/>
      <w:numFmt w:val="bullet"/>
      <w:lvlText w:val="o"/>
      <w:lvlJc w:val="left"/>
      <w:pPr>
        <w:ind w:left="2640" w:hanging="360"/>
      </w:pPr>
      <w:rPr>
        <w:rFonts w:ascii="Courier New" w:hAnsi="Courier New" w:cs="Courier New" w:hint="default"/>
      </w:rPr>
    </w:lvl>
    <w:lvl w:ilvl="2" w:tplc="40090005" w:tentative="1">
      <w:start w:val="1"/>
      <w:numFmt w:val="bullet"/>
      <w:lvlText w:val=""/>
      <w:lvlJc w:val="left"/>
      <w:pPr>
        <w:ind w:left="3360" w:hanging="360"/>
      </w:pPr>
      <w:rPr>
        <w:rFonts w:ascii="Wingdings" w:hAnsi="Wingdings" w:hint="default"/>
      </w:rPr>
    </w:lvl>
    <w:lvl w:ilvl="3" w:tplc="40090001" w:tentative="1">
      <w:start w:val="1"/>
      <w:numFmt w:val="bullet"/>
      <w:lvlText w:val=""/>
      <w:lvlJc w:val="left"/>
      <w:pPr>
        <w:ind w:left="4080" w:hanging="360"/>
      </w:pPr>
      <w:rPr>
        <w:rFonts w:ascii="Symbol" w:hAnsi="Symbol" w:hint="default"/>
      </w:rPr>
    </w:lvl>
    <w:lvl w:ilvl="4" w:tplc="40090003" w:tentative="1">
      <w:start w:val="1"/>
      <w:numFmt w:val="bullet"/>
      <w:lvlText w:val="o"/>
      <w:lvlJc w:val="left"/>
      <w:pPr>
        <w:ind w:left="4800" w:hanging="360"/>
      </w:pPr>
      <w:rPr>
        <w:rFonts w:ascii="Courier New" w:hAnsi="Courier New" w:cs="Courier New" w:hint="default"/>
      </w:rPr>
    </w:lvl>
    <w:lvl w:ilvl="5" w:tplc="40090005" w:tentative="1">
      <w:start w:val="1"/>
      <w:numFmt w:val="bullet"/>
      <w:lvlText w:val=""/>
      <w:lvlJc w:val="left"/>
      <w:pPr>
        <w:ind w:left="5520" w:hanging="360"/>
      </w:pPr>
      <w:rPr>
        <w:rFonts w:ascii="Wingdings" w:hAnsi="Wingdings" w:hint="default"/>
      </w:rPr>
    </w:lvl>
    <w:lvl w:ilvl="6" w:tplc="40090001" w:tentative="1">
      <w:start w:val="1"/>
      <w:numFmt w:val="bullet"/>
      <w:lvlText w:val=""/>
      <w:lvlJc w:val="left"/>
      <w:pPr>
        <w:ind w:left="6240" w:hanging="360"/>
      </w:pPr>
      <w:rPr>
        <w:rFonts w:ascii="Symbol" w:hAnsi="Symbol" w:hint="default"/>
      </w:rPr>
    </w:lvl>
    <w:lvl w:ilvl="7" w:tplc="40090003" w:tentative="1">
      <w:start w:val="1"/>
      <w:numFmt w:val="bullet"/>
      <w:lvlText w:val="o"/>
      <w:lvlJc w:val="left"/>
      <w:pPr>
        <w:ind w:left="6960" w:hanging="360"/>
      </w:pPr>
      <w:rPr>
        <w:rFonts w:ascii="Courier New" w:hAnsi="Courier New" w:cs="Courier New" w:hint="default"/>
      </w:rPr>
    </w:lvl>
    <w:lvl w:ilvl="8" w:tplc="40090005" w:tentative="1">
      <w:start w:val="1"/>
      <w:numFmt w:val="bullet"/>
      <w:lvlText w:val=""/>
      <w:lvlJc w:val="left"/>
      <w:pPr>
        <w:ind w:left="7680" w:hanging="360"/>
      </w:pPr>
      <w:rPr>
        <w:rFonts w:ascii="Wingdings" w:hAnsi="Wingdings" w:hint="default"/>
      </w:rPr>
    </w:lvl>
  </w:abstractNum>
  <w:abstractNum w:abstractNumId="1" w15:restartNumberingAfterBreak="0">
    <w:nsid w:val="1F1A50FF"/>
    <w:multiLevelType w:val="hybridMultilevel"/>
    <w:tmpl w:val="32CC30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54C1195"/>
    <w:multiLevelType w:val="hybridMultilevel"/>
    <w:tmpl w:val="70D06B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09D2D75"/>
    <w:multiLevelType w:val="hybridMultilevel"/>
    <w:tmpl w:val="3068949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5A23889"/>
    <w:multiLevelType w:val="hybridMultilevel"/>
    <w:tmpl w:val="48C417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F05"/>
    <w:rsid w:val="00133F8B"/>
    <w:rsid w:val="004346B4"/>
    <w:rsid w:val="004D236B"/>
    <w:rsid w:val="00546BCC"/>
    <w:rsid w:val="006B7D4D"/>
    <w:rsid w:val="007A3F05"/>
    <w:rsid w:val="008A5A14"/>
    <w:rsid w:val="009A71D0"/>
    <w:rsid w:val="00A63F52"/>
    <w:rsid w:val="00B023D4"/>
    <w:rsid w:val="00B374DB"/>
    <w:rsid w:val="00B773F1"/>
    <w:rsid w:val="00C078EF"/>
    <w:rsid w:val="00CF08E4"/>
    <w:rsid w:val="00D05A6C"/>
    <w:rsid w:val="00ED34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48126"/>
  <w15:chartTrackingRefBased/>
  <w15:docId w15:val="{9E14BE51-EB5F-4171-9333-4B6A5697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B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3F05"/>
    <w:pPr>
      <w:ind w:left="720"/>
      <w:contextualSpacing/>
    </w:pPr>
  </w:style>
  <w:style w:type="table" w:styleId="TableGrid">
    <w:name w:val="Table Grid"/>
    <w:basedOn w:val="TableNormal"/>
    <w:uiPriority w:val="39"/>
    <w:rsid w:val="00B77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10</Pages>
  <Words>1048</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Sannidhya</dc:creator>
  <cp:keywords/>
  <dc:description/>
  <cp:lastModifiedBy>Sannidhya</cp:lastModifiedBy>
  <cp:revision>7</cp:revision>
  <dcterms:created xsi:type="dcterms:W3CDTF">2021-04-16T12:58:00Z</dcterms:created>
  <dcterms:modified xsi:type="dcterms:W3CDTF">2021-04-22T03:44:00Z</dcterms:modified>
</cp:coreProperties>
</file>