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9FD6B" w14:textId="77777777" w:rsidR="008F2D97" w:rsidRPr="008F2D97" w:rsidRDefault="008F2D97" w:rsidP="008F2D97">
      <w:pPr>
        <w:jc w:val="center"/>
        <w:rPr>
          <w:rFonts w:ascii="Arial Black" w:hAnsi="Arial Black"/>
          <w:b/>
          <w:bCs/>
          <w:sz w:val="32"/>
          <w:szCs w:val="32"/>
        </w:rPr>
      </w:pPr>
      <w:r w:rsidRPr="008F2D97">
        <w:rPr>
          <w:rFonts w:ascii="Arial Black" w:hAnsi="Arial Black"/>
          <w:b/>
          <w:bCs/>
          <w:sz w:val="32"/>
          <w:szCs w:val="32"/>
        </w:rPr>
        <w:t>Investment Analysis Case study</w:t>
      </w:r>
    </w:p>
    <w:p w14:paraId="4C5798B9" w14:textId="3E5D4275" w:rsidR="00503FE5" w:rsidRDefault="008F2D97" w:rsidP="008F2D97">
      <w:pPr>
        <w:jc w:val="center"/>
        <w:rPr>
          <w:rFonts w:ascii="Arial Black" w:hAnsi="Arial Black"/>
          <w:b/>
          <w:bCs/>
          <w:sz w:val="32"/>
          <w:szCs w:val="32"/>
        </w:rPr>
      </w:pPr>
      <w:r w:rsidRPr="008F2D97">
        <w:rPr>
          <w:rFonts w:ascii="Arial Black" w:hAnsi="Arial Black"/>
          <w:b/>
          <w:bCs/>
          <w:sz w:val="32"/>
          <w:szCs w:val="32"/>
        </w:rPr>
        <w:t>Universal Swap - Liquidity pools</w:t>
      </w:r>
    </w:p>
    <w:p w14:paraId="29E2EF39" w14:textId="77777777" w:rsidR="00842301" w:rsidRPr="00222B6A" w:rsidRDefault="00A523F9" w:rsidP="00842301">
      <w:pPr>
        <w:shd w:val="clear" w:color="auto" w:fill="FFFFFF"/>
        <w:rPr>
          <w:rFonts w:eastAsia="Times New Roman" w:cstheme="minorHAnsi"/>
          <w:b/>
          <w:bCs/>
          <w:color w:val="202124"/>
          <w:u w:val="single"/>
          <w:lang w:val="en-IN"/>
        </w:rPr>
      </w:pPr>
      <w:r w:rsidRPr="00222B6A">
        <w:rPr>
          <w:rFonts w:ascii="Arial Black" w:hAnsi="Arial Black"/>
          <w:b/>
          <w:bCs/>
          <w:sz w:val="32"/>
          <w:szCs w:val="32"/>
          <w:u w:val="single"/>
        </w:rPr>
        <w:t>Q1)</w:t>
      </w:r>
      <w:r w:rsidRPr="00222B6A">
        <w:rPr>
          <w:rFonts w:cstheme="minorHAnsi"/>
          <w:b/>
          <w:bCs/>
          <w:sz w:val="32"/>
          <w:szCs w:val="32"/>
          <w:u w:val="single"/>
        </w:rPr>
        <w:t xml:space="preserve"> </w:t>
      </w:r>
      <w:r w:rsidR="00842301" w:rsidRPr="00222B6A">
        <w:rPr>
          <w:rFonts w:eastAsia="Times New Roman" w:cstheme="minorHAnsi"/>
          <w:b/>
          <w:bCs/>
          <w:color w:val="202124"/>
          <w:sz w:val="32"/>
          <w:szCs w:val="32"/>
          <w:u w:val="single"/>
          <w:lang w:val="en-IN"/>
        </w:rPr>
        <w:t>Incremental cash flow</w:t>
      </w:r>
    </w:p>
    <w:p w14:paraId="02002079" w14:textId="77777777" w:rsidR="00842301" w:rsidRPr="00842301" w:rsidRDefault="00842301" w:rsidP="00842301">
      <w:pPr>
        <w:shd w:val="clear" w:color="auto" w:fill="FFFFFF"/>
        <w:spacing w:after="0" w:line="240" w:lineRule="auto"/>
        <w:rPr>
          <w:rFonts w:eastAsia="Times New Roman" w:cstheme="minorHAnsi"/>
          <w:b/>
          <w:bCs/>
          <w:color w:val="202124"/>
          <w:lang w:val="en-IN"/>
        </w:rPr>
      </w:pPr>
      <w:r w:rsidRPr="00842301">
        <w:rPr>
          <w:rFonts w:eastAsia="Times New Roman" w:cstheme="minorHAnsi"/>
          <w:b/>
          <w:bCs/>
          <w:color w:val="202124"/>
          <w:sz w:val="28"/>
          <w:szCs w:val="28"/>
          <w:lang w:val="en-IN"/>
        </w:rPr>
        <w:t>Incremental cash flow refers to cash flow that is acquired by a company when it takes on a new project.</w:t>
      </w:r>
    </w:p>
    <w:p w14:paraId="60110690" w14:textId="77777777" w:rsidR="00842301" w:rsidRDefault="00842301" w:rsidP="00A523F9">
      <w:pPr>
        <w:rPr>
          <w:rFonts w:ascii="Arial Black" w:hAnsi="Arial Black"/>
          <w:b/>
          <w:bCs/>
          <w:sz w:val="28"/>
          <w:szCs w:val="28"/>
        </w:rPr>
      </w:pPr>
    </w:p>
    <w:p w14:paraId="5B6C485D" w14:textId="6CADBBF8" w:rsidR="00A523F9" w:rsidRPr="00EC5858" w:rsidRDefault="00A523F9" w:rsidP="00A523F9">
      <w:pPr>
        <w:rPr>
          <w:rFonts w:ascii="Arial Black" w:hAnsi="Arial Black"/>
          <w:b/>
          <w:bCs/>
          <w:sz w:val="28"/>
          <w:szCs w:val="28"/>
        </w:rPr>
      </w:pPr>
      <w:r w:rsidRPr="00EC5858">
        <w:rPr>
          <w:rFonts w:ascii="Arial Black" w:hAnsi="Arial Black"/>
          <w:b/>
          <w:bCs/>
          <w:sz w:val="24"/>
          <w:szCs w:val="24"/>
        </w:rPr>
        <w:t xml:space="preserve">ICF (incremental cashflow) = Revenue after tax </w:t>
      </w:r>
      <w:r w:rsidR="00EC5858" w:rsidRPr="00EC5858">
        <w:rPr>
          <w:rFonts w:ascii="Arial Black" w:hAnsi="Arial Black"/>
          <w:b/>
          <w:bCs/>
          <w:sz w:val="24"/>
          <w:szCs w:val="24"/>
        </w:rPr>
        <w:t>–</w:t>
      </w:r>
      <w:r w:rsidRPr="00EC5858">
        <w:rPr>
          <w:rFonts w:ascii="Arial Black" w:hAnsi="Arial Black"/>
          <w:b/>
          <w:bCs/>
          <w:sz w:val="24"/>
          <w:szCs w:val="24"/>
        </w:rPr>
        <w:t xml:space="preserve"> Expenses</w:t>
      </w:r>
      <w:r w:rsidR="00EC5858" w:rsidRPr="00EC5858">
        <w:rPr>
          <w:rFonts w:ascii="Arial Black" w:hAnsi="Arial Black"/>
          <w:b/>
          <w:bCs/>
          <w:sz w:val="24"/>
          <w:szCs w:val="24"/>
        </w:rPr>
        <w:t xml:space="preserve"> </w:t>
      </w:r>
      <w:r w:rsidRPr="00EC5858">
        <w:rPr>
          <w:rFonts w:ascii="Arial Black" w:hAnsi="Arial Black"/>
          <w:b/>
          <w:bCs/>
          <w:sz w:val="24"/>
          <w:szCs w:val="24"/>
        </w:rPr>
        <w:t>-</w:t>
      </w:r>
      <w:r w:rsidR="00EC5858" w:rsidRPr="00EC5858">
        <w:rPr>
          <w:rFonts w:ascii="Arial Black" w:hAnsi="Arial Black"/>
          <w:b/>
          <w:bCs/>
          <w:sz w:val="24"/>
          <w:szCs w:val="24"/>
        </w:rPr>
        <w:t xml:space="preserve"> </w:t>
      </w:r>
      <w:r w:rsidRPr="00EC5858">
        <w:rPr>
          <w:rFonts w:ascii="Arial Black" w:hAnsi="Arial Black"/>
          <w:b/>
          <w:bCs/>
          <w:sz w:val="24"/>
          <w:szCs w:val="24"/>
        </w:rPr>
        <w:t>Initial cost</w:t>
      </w:r>
    </w:p>
    <w:p w14:paraId="651B9963" w14:textId="38EDC4E8" w:rsidR="00A523F9" w:rsidRPr="00EC5858" w:rsidRDefault="00A523F9" w:rsidP="00A523F9">
      <w:pPr>
        <w:rPr>
          <w:rFonts w:cstheme="minorHAnsi"/>
          <w:b/>
          <w:bCs/>
        </w:rPr>
      </w:pPr>
      <w:r w:rsidRPr="00EC5858">
        <w:rPr>
          <w:rFonts w:cstheme="minorHAnsi"/>
          <w:b/>
          <w:bCs/>
        </w:rPr>
        <w:t>Revenue</w:t>
      </w:r>
      <w:r w:rsidR="00EC5858">
        <w:rPr>
          <w:rFonts w:cstheme="minorHAnsi"/>
          <w:b/>
          <w:bCs/>
        </w:rPr>
        <w:t xml:space="preserve"> </w:t>
      </w:r>
      <w:r w:rsidRPr="00EC5858">
        <w:rPr>
          <w:rFonts w:cstheme="minorHAnsi"/>
          <w:b/>
          <w:bCs/>
        </w:rPr>
        <w:t>=</w:t>
      </w:r>
      <w:r w:rsidR="00EC5858">
        <w:rPr>
          <w:rFonts w:cstheme="minorHAnsi"/>
          <w:b/>
          <w:bCs/>
        </w:rPr>
        <w:t xml:space="preserve"> </w:t>
      </w:r>
      <w:r w:rsidRPr="00EC5858">
        <w:rPr>
          <w:rFonts w:cstheme="minorHAnsi"/>
          <w:b/>
          <w:bCs/>
        </w:rPr>
        <w:t>Exchange Charges + cost of service (domestic) + cost of service (international) + cost of service (new participants)</w:t>
      </w:r>
    </w:p>
    <w:p w14:paraId="6E96926F" w14:textId="7E2068C5" w:rsidR="00A523F9" w:rsidRPr="00EC5858" w:rsidRDefault="00A523F9" w:rsidP="00A523F9">
      <w:pPr>
        <w:rPr>
          <w:rFonts w:cstheme="minorHAnsi"/>
          <w:b/>
          <w:bCs/>
        </w:rPr>
      </w:pPr>
      <w:r w:rsidRPr="00EC5858">
        <w:rPr>
          <w:rFonts w:cstheme="minorHAnsi"/>
          <w:b/>
          <w:bCs/>
        </w:rPr>
        <w:t>Revenue after Tax = Revenue * (Tax) (10%)</w:t>
      </w:r>
    </w:p>
    <w:p w14:paraId="46F7216E" w14:textId="044C61B5" w:rsidR="00A523F9" w:rsidRPr="00EC5858" w:rsidRDefault="00A523F9" w:rsidP="00A523F9">
      <w:pPr>
        <w:rPr>
          <w:rFonts w:cstheme="minorHAnsi"/>
          <w:b/>
          <w:bCs/>
        </w:rPr>
      </w:pPr>
      <w:r w:rsidRPr="00EC5858">
        <w:rPr>
          <w:rFonts w:cstheme="minorHAnsi"/>
          <w:b/>
          <w:bCs/>
        </w:rPr>
        <w:t>Expenses = Advertisement cost + Total cost – Side Benefits</w:t>
      </w:r>
    </w:p>
    <w:p w14:paraId="014D0359" w14:textId="6E7ADDD9" w:rsidR="00A523F9" w:rsidRPr="00EC5858" w:rsidRDefault="00A523F9" w:rsidP="00A523F9">
      <w:pPr>
        <w:rPr>
          <w:rFonts w:cstheme="minorHAnsi"/>
          <w:b/>
          <w:bCs/>
        </w:rPr>
      </w:pPr>
      <w:r w:rsidRPr="00EC5858">
        <w:rPr>
          <w:rFonts w:cstheme="minorHAnsi"/>
          <w:b/>
          <w:bCs/>
        </w:rPr>
        <w:t>Total Cost = Cost Decided + Increased Cost</w:t>
      </w:r>
    </w:p>
    <w:p w14:paraId="7A9DCB55" w14:textId="63E00555" w:rsidR="00EC5858" w:rsidRDefault="00EC5858" w:rsidP="00A523F9">
      <w:pPr>
        <w:rPr>
          <w:rFonts w:cstheme="minorHAnsi"/>
          <w:b/>
          <w:bCs/>
        </w:rPr>
      </w:pPr>
      <w:r w:rsidRPr="00EC5858">
        <w:rPr>
          <w:rFonts w:cstheme="minorHAnsi"/>
          <w:b/>
          <w:bCs/>
        </w:rPr>
        <w:t>Initial Cost = R&amp;D cost + Introductory Cost +</w:t>
      </w:r>
      <w:r>
        <w:rPr>
          <w:rFonts w:cstheme="minorHAnsi"/>
          <w:b/>
          <w:bCs/>
        </w:rPr>
        <w:t xml:space="preserve"> </w:t>
      </w:r>
      <w:r w:rsidRPr="00EC5858">
        <w:rPr>
          <w:rFonts w:cstheme="minorHAnsi"/>
          <w:b/>
          <w:bCs/>
        </w:rPr>
        <w:t>New Server Cost + Total Cost + Advertisement Cost</w:t>
      </w:r>
    </w:p>
    <w:p w14:paraId="243975A8" w14:textId="589F023D" w:rsidR="0091748C" w:rsidRDefault="0091748C" w:rsidP="00A523F9">
      <w:pPr>
        <w:rPr>
          <w:rFonts w:cstheme="minorHAnsi"/>
          <w:b/>
          <w:bCs/>
        </w:rPr>
      </w:pPr>
      <w:r>
        <w:rPr>
          <w:noProof/>
        </w:rPr>
        <w:drawing>
          <wp:inline distT="0" distB="0" distL="0" distR="0" wp14:anchorId="6C0480C7" wp14:editId="6416C561">
            <wp:extent cx="4152900" cy="2266950"/>
            <wp:effectExtent l="0" t="0" r="0" b="0"/>
            <wp:docPr id="2" name="Chart 2">
              <a:extLst xmlns:a="http://schemas.openxmlformats.org/drawingml/2006/main">
                <a:ext uri="{FF2B5EF4-FFF2-40B4-BE49-F238E27FC236}">
                  <a16:creationId xmlns:a16="http://schemas.microsoft.com/office/drawing/2014/main" id="{C0A576D7-E48B-4CA1-9D7C-B4FCC2381D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6725BC7E" w14:textId="612DFD5B" w:rsidR="0091748C" w:rsidRDefault="0091748C" w:rsidP="00A523F9">
      <w:pPr>
        <w:rPr>
          <w:rFonts w:cstheme="minorHAnsi"/>
          <w:b/>
          <w:bCs/>
        </w:rPr>
      </w:pPr>
      <w:r>
        <w:rPr>
          <w:rFonts w:cstheme="minorHAnsi"/>
          <w:b/>
          <w:bCs/>
        </w:rPr>
        <w:t xml:space="preserve">In Q1. I have compared incremental cashflow (ICF) of with Alternium and without Alternium </w:t>
      </w:r>
    </w:p>
    <w:p w14:paraId="78CC155B" w14:textId="54B33C33" w:rsidR="0091748C" w:rsidRDefault="0091748C" w:rsidP="00A523F9">
      <w:pPr>
        <w:rPr>
          <w:rFonts w:cstheme="minorHAnsi"/>
          <w:b/>
          <w:bCs/>
        </w:rPr>
      </w:pPr>
      <w:r>
        <w:rPr>
          <w:rFonts w:cstheme="minorHAnsi"/>
          <w:b/>
          <w:bCs/>
        </w:rPr>
        <w:t xml:space="preserve">Analyzing this, we can see that ICF with Alternium has higher value because new number of participants are included in alternium which actually increases the revenue of the company and thereby increases the value of ICF. </w:t>
      </w:r>
    </w:p>
    <w:p w14:paraId="4184A505" w14:textId="2B8E23FB" w:rsidR="0091748C" w:rsidRDefault="0091748C" w:rsidP="00A523F9">
      <w:pPr>
        <w:rPr>
          <w:rFonts w:cstheme="minorHAnsi"/>
          <w:b/>
          <w:bCs/>
        </w:rPr>
      </w:pPr>
    </w:p>
    <w:p w14:paraId="5C535072" w14:textId="77777777" w:rsidR="0091748C" w:rsidRDefault="0091748C">
      <w:pPr>
        <w:rPr>
          <w:rFonts w:cstheme="minorHAnsi"/>
          <w:b/>
          <w:bCs/>
        </w:rPr>
      </w:pPr>
    </w:p>
    <w:p w14:paraId="1CF94026" w14:textId="03421D87" w:rsidR="00EC5858" w:rsidRPr="00842301" w:rsidRDefault="00EC5858">
      <w:pPr>
        <w:rPr>
          <w:rFonts w:cstheme="minorHAnsi"/>
          <w:b/>
          <w:bCs/>
          <w:sz w:val="36"/>
          <w:szCs w:val="36"/>
        </w:rPr>
      </w:pPr>
      <w:r w:rsidRPr="00EC5858">
        <w:rPr>
          <w:rFonts w:ascii="Arial Black" w:hAnsi="Arial Black"/>
          <w:b/>
          <w:bCs/>
          <w:sz w:val="32"/>
          <w:szCs w:val="32"/>
        </w:rPr>
        <w:lastRenderedPageBreak/>
        <w:t>Q2)</w:t>
      </w:r>
      <w:r w:rsidR="00842301" w:rsidRPr="00842301">
        <w:rPr>
          <w:rFonts w:ascii="Arial" w:hAnsi="Arial" w:cs="Arial"/>
          <w:color w:val="202124"/>
          <w:shd w:val="clear" w:color="auto" w:fill="FFFFFF"/>
        </w:rPr>
        <w:t xml:space="preserve"> </w:t>
      </w:r>
      <w:r w:rsidR="00842301" w:rsidRPr="00842301">
        <w:rPr>
          <w:rFonts w:cstheme="minorHAnsi"/>
          <w:b/>
          <w:bCs/>
          <w:color w:val="202124"/>
          <w:sz w:val="24"/>
          <w:szCs w:val="24"/>
          <w:shd w:val="clear" w:color="auto" w:fill="FFFFFF"/>
        </w:rPr>
        <w:t>Net present value (NPV) is the difference between the present value of cash inflows and the present value of cash outflows over a period of time.</w:t>
      </w:r>
    </w:p>
    <w:p w14:paraId="46742EBD" w14:textId="45E710B0" w:rsidR="00EC5858" w:rsidRDefault="00EC5858">
      <w:pPr>
        <w:rPr>
          <w:rFonts w:ascii="Arial Black" w:hAnsi="Arial Black"/>
          <w:b/>
          <w:bCs/>
          <w:sz w:val="24"/>
          <w:szCs w:val="24"/>
        </w:rPr>
      </w:pPr>
      <w:r>
        <w:rPr>
          <w:rFonts w:ascii="Arial Black" w:hAnsi="Arial Black"/>
          <w:b/>
          <w:bCs/>
          <w:sz w:val="24"/>
          <w:szCs w:val="24"/>
        </w:rPr>
        <w:t>NPV (Net Present Value) = (Introductory product value (1+i)</w:t>
      </w:r>
      <w:r w:rsidR="00357BA7">
        <w:rPr>
          <w:rFonts w:ascii="Arial Black" w:hAnsi="Arial Black"/>
          <w:b/>
          <w:bCs/>
          <w:sz w:val="24"/>
          <w:szCs w:val="24"/>
        </w:rPr>
        <w:t xml:space="preserve"> </w:t>
      </w:r>
      <w:r>
        <w:rPr>
          <w:rFonts w:ascii="Arial Black" w:hAnsi="Arial Black"/>
          <w:b/>
          <w:bCs/>
          <w:sz w:val="24"/>
          <w:szCs w:val="24"/>
        </w:rPr>
        <w:t>^</w:t>
      </w:r>
      <w:r w:rsidR="00357BA7">
        <w:rPr>
          <w:rFonts w:ascii="Arial Black" w:hAnsi="Arial Black"/>
          <w:b/>
          <w:bCs/>
          <w:sz w:val="24"/>
          <w:szCs w:val="24"/>
        </w:rPr>
        <w:t xml:space="preserve"> </w:t>
      </w:r>
      <w:r>
        <w:rPr>
          <w:rFonts w:ascii="Arial Black" w:hAnsi="Arial Black"/>
          <w:b/>
          <w:bCs/>
          <w:sz w:val="24"/>
          <w:szCs w:val="24"/>
        </w:rPr>
        <w:t xml:space="preserve">(-n)) + </w:t>
      </w:r>
      <w:r w:rsidR="00357BA7">
        <w:rPr>
          <w:rFonts w:ascii="Arial Black" w:hAnsi="Arial Black"/>
          <w:b/>
          <w:bCs/>
          <w:sz w:val="24"/>
          <w:szCs w:val="24"/>
        </w:rPr>
        <w:t>(New Server Cost (1+i) ^ (-n)) + (Account Receivables (1+i) ^ (-n)) + (inventory (1+I) ^ (-n)) – (account payables (1+i) ^ (-n))</w:t>
      </w:r>
    </w:p>
    <w:p w14:paraId="6E5D4752" w14:textId="49C6F803" w:rsidR="00842301" w:rsidRPr="00842301" w:rsidRDefault="00842301">
      <w:pPr>
        <w:rPr>
          <w:rFonts w:cstheme="minorHAnsi"/>
          <w:b/>
          <w:bCs/>
          <w:sz w:val="28"/>
          <w:szCs w:val="28"/>
        </w:rPr>
      </w:pPr>
      <w:r w:rsidRPr="00842301">
        <w:rPr>
          <w:rFonts w:cstheme="minorHAnsi"/>
          <w:b/>
          <w:bCs/>
          <w:color w:val="202124"/>
          <w:sz w:val="24"/>
          <w:szCs w:val="24"/>
          <w:shd w:val="clear" w:color="auto" w:fill="FFFFFF"/>
        </w:rPr>
        <w:t>The internal rate of return (IRR) is a metric used in financial analysis to estimate the profitability of potential investments. IRR is a discount rate that makes the net present value (NPV) of all cash flows equal to zero in a discounted cash flow analysis.</w:t>
      </w:r>
    </w:p>
    <w:p w14:paraId="3A127602" w14:textId="5DFD3A2C" w:rsidR="00357BA7" w:rsidRDefault="00357BA7">
      <w:pPr>
        <w:rPr>
          <w:rFonts w:ascii="Arial Black" w:hAnsi="Arial Black"/>
          <w:b/>
          <w:bCs/>
          <w:sz w:val="24"/>
          <w:szCs w:val="24"/>
        </w:rPr>
      </w:pPr>
      <w:r>
        <w:rPr>
          <w:rFonts w:ascii="Arial Black" w:hAnsi="Arial Black"/>
          <w:b/>
          <w:bCs/>
          <w:sz w:val="24"/>
          <w:szCs w:val="24"/>
        </w:rPr>
        <w:t xml:space="preserve">IRR </w:t>
      </w:r>
      <w:r w:rsidR="00CF6BE8">
        <w:rPr>
          <w:rFonts w:ascii="Arial Black" w:hAnsi="Arial Black"/>
          <w:b/>
          <w:bCs/>
          <w:sz w:val="24"/>
          <w:szCs w:val="24"/>
        </w:rPr>
        <w:t>is found at I % when NPV = 0</w:t>
      </w:r>
    </w:p>
    <w:p w14:paraId="24C95483" w14:textId="54BE6577" w:rsidR="00357BA7" w:rsidRPr="00CF6BE8" w:rsidRDefault="00357BA7">
      <w:pPr>
        <w:rPr>
          <w:rFonts w:cstheme="minorHAnsi"/>
          <w:b/>
          <w:bCs/>
        </w:rPr>
      </w:pPr>
      <w:r w:rsidRPr="00CF6BE8">
        <w:rPr>
          <w:rFonts w:cstheme="minorHAnsi"/>
          <w:b/>
          <w:bCs/>
        </w:rPr>
        <w:t>Account Receivables = Revenue After Tax * 5%</w:t>
      </w:r>
    </w:p>
    <w:p w14:paraId="27476D8F" w14:textId="24DBB8E2" w:rsidR="00357BA7" w:rsidRPr="00CF6BE8" w:rsidRDefault="00357BA7">
      <w:pPr>
        <w:rPr>
          <w:rFonts w:cstheme="minorHAnsi"/>
          <w:b/>
          <w:bCs/>
        </w:rPr>
      </w:pPr>
      <w:r w:rsidRPr="00CF6BE8">
        <w:rPr>
          <w:rFonts w:cstheme="minorHAnsi"/>
          <w:b/>
          <w:bCs/>
        </w:rPr>
        <w:t>Inventory = Revenue After Tax * 10%</w:t>
      </w:r>
    </w:p>
    <w:p w14:paraId="20760C08" w14:textId="1442A505" w:rsidR="00357BA7" w:rsidRPr="00CF6BE8" w:rsidRDefault="00357BA7">
      <w:pPr>
        <w:rPr>
          <w:rFonts w:cstheme="minorHAnsi"/>
          <w:b/>
          <w:bCs/>
        </w:rPr>
      </w:pPr>
      <w:r w:rsidRPr="00CF6BE8">
        <w:rPr>
          <w:rFonts w:cstheme="minorHAnsi"/>
          <w:b/>
          <w:bCs/>
        </w:rPr>
        <w:t>Account Payables = Revenue After Tax * 6%</w:t>
      </w:r>
    </w:p>
    <w:p w14:paraId="7B043282" w14:textId="77777777" w:rsidR="00E10CF9" w:rsidRPr="001F526F" w:rsidRDefault="00E10CF9">
      <w:pPr>
        <w:rPr>
          <w:rFonts w:ascii="Arial Black" w:hAnsi="Arial Black" w:cstheme="minorHAnsi"/>
          <w:b/>
          <w:bCs/>
          <w:sz w:val="24"/>
          <w:szCs w:val="24"/>
        </w:rPr>
      </w:pPr>
    </w:p>
    <w:p w14:paraId="3FCB44D5" w14:textId="383D1EF1" w:rsidR="00E10CF9" w:rsidRPr="001F526F" w:rsidRDefault="00E10CF9" w:rsidP="00E10CF9">
      <w:pPr>
        <w:rPr>
          <w:rFonts w:ascii="Arial Black" w:hAnsi="Arial Black"/>
          <w:sz w:val="24"/>
          <w:szCs w:val="24"/>
        </w:rPr>
      </w:pPr>
      <w:r w:rsidRPr="001F526F">
        <w:rPr>
          <w:rFonts w:ascii="Arial Black" w:hAnsi="Arial Black" w:cstheme="minorHAnsi"/>
          <w:b/>
          <w:bCs/>
          <w:sz w:val="24"/>
          <w:szCs w:val="24"/>
        </w:rPr>
        <w:t xml:space="preserve">To calculate IRR and Revenues we see that we add </w:t>
      </w:r>
      <w:r w:rsidRPr="001F526F">
        <w:rPr>
          <w:rFonts w:ascii="Arial Black" w:hAnsi="Arial Black"/>
          <w:b/>
          <w:bCs/>
          <w:sz w:val="24"/>
          <w:szCs w:val="24"/>
        </w:rPr>
        <w:t>Introductory product value</w:t>
      </w:r>
      <w:r w:rsidRPr="001F526F">
        <w:rPr>
          <w:rFonts w:ascii="Arial Black" w:hAnsi="Arial Black"/>
          <w:b/>
          <w:bCs/>
          <w:sz w:val="24"/>
          <w:szCs w:val="24"/>
        </w:rPr>
        <w:t>,</w:t>
      </w:r>
      <w:r w:rsidRPr="001F526F">
        <w:rPr>
          <w:rFonts w:ascii="Arial Black" w:hAnsi="Arial Black"/>
          <w:b/>
          <w:bCs/>
          <w:sz w:val="24"/>
          <w:szCs w:val="24"/>
        </w:rPr>
        <w:t xml:space="preserve"> New Server Cost</w:t>
      </w:r>
      <w:r w:rsidRPr="001F526F">
        <w:rPr>
          <w:rFonts w:ascii="Arial Black" w:hAnsi="Arial Black"/>
          <w:b/>
          <w:bCs/>
          <w:sz w:val="24"/>
          <w:szCs w:val="24"/>
        </w:rPr>
        <w:t xml:space="preserve">, </w:t>
      </w:r>
      <w:r w:rsidRPr="001F526F">
        <w:rPr>
          <w:rFonts w:ascii="Arial Black" w:hAnsi="Arial Black"/>
          <w:b/>
          <w:bCs/>
          <w:sz w:val="24"/>
          <w:szCs w:val="24"/>
        </w:rPr>
        <w:t>Account Receivables</w:t>
      </w:r>
      <w:r w:rsidRPr="001F526F">
        <w:rPr>
          <w:rFonts w:ascii="Arial Black" w:hAnsi="Arial Black"/>
          <w:b/>
          <w:bCs/>
          <w:sz w:val="24"/>
          <w:szCs w:val="24"/>
        </w:rPr>
        <w:t xml:space="preserve"> and </w:t>
      </w:r>
      <w:r w:rsidRPr="001F526F">
        <w:rPr>
          <w:rFonts w:ascii="Arial Black" w:hAnsi="Arial Black"/>
          <w:b/>
          <w:bCs/>
          <w:sz w:val="24"/>
          <w:szCs w:val="24"/>
        </w:rPr>
        <w:t>inventory</w:t>
      </w:r>
      <w:r w:rsidRPr="001F526F">
        <w:rPr>
          <w:rFonts w:ascii="Arial Black" w:hAnsi="Arial Black"/>
          <w:b/>
          <w:bCs/>
          <w:sz w:val="24"/>
          <w:szCs w:val="24"/>
        </w:rPr>
        <w:t xml:space="preserve"> because these all are somehow the assets for the company because as this is a positive cashflow and Account Payables is subtracted from calculating IRR and NPV </w:t>
      </w:r>
      <w:r w:rsidR="001F526F" w:rsidRPr="001F526F">
        <w:rPr>
          <w:rFonts w:ascii="Arial Black" w:hAnsi="Arial Black"/>
          <w:b/>
          <w:bCs/>
          <w:sz w:val="24"/>
          <w:szCs w:val="24"/>
        </w:rPr>
        <w:t>because this is somehow the cost for the company which means it is the negative cashflow.</w:t>
      </w:r>
    </w:p>
    <w:p w14:paraId="3D8B7D5F" w14:textId="77777777" w:rsidR="001F526F" w:rsidRDefault="001F526F">
      <w:pPr>
        <w:rPr>
          <w:rFonts w:cstheme="minorHAnsi"/>
          <w:b/>
          <w:bCs/>
          <w:sz w:val="36"/>
          <w:szCs w:val="36"/>
        </w:rPr>
      </w:pPr>
    </w:p>
    <w:p w14:paraId="3E81E533" w14:textId="0F8006A4" w:rsidR="00842301" w:rsidRPr="001F526F" w:rsidRDefault="001F526F">
      <w:pPr>
        <w:rPr>
          <w:rFonts w:cstheme="minorHAnsi"/>
          <w:b/>
          <w:bCs/>
          <w:sz w:val="36"/>
          <w:szCs w:val="36"/>
        </w:rPr>
      </w:pPr>
      <w:r w:rsidRPr="001F526F">
        <w:rPr>
          <w:rFonts w:cstheme="minorHAnsi"/>
          <w:b/>
          <w:bCs/>
          <w:sz w:val="36"/>
          <w:szCs w:val="36"/>
        </w:rPr>
        <w:t>TO CALCULATE IRR</w:t>
      </w:r>
    </w:p>
    <w:p w14:paraId="5641ECD4" w14:textId="77777777" w:rsidR="001F526F" w:rsidRDefault="001F526F">
      <w:pPr>
        <w:rPr>
          <w:rFonts w:ascii="Arial Black" w:hAnsi="Arial Black"/>
          <w:b/>
          <w:bCs/>
          <w:sz w:val="24"/>
          <w:szCs w:val="24"/>
        </w:rPr>
      </w:pPr>
      <w:r>
        <w:rPr>
          <w:rFonts w:ascii="Arial Black" w:hAnsi="Arial Black"/>
          <w:b/>
          <w:bCs/>
          <w:sz w:val="24"/>
          <w:szCs w:val="24"/>
        </w:rPr>
        <w:t>Firstly, we use any I % to calculate NPV of the given year cashflow.</w:t>
      </w:r>
    </w:p>
    <w:p w14:paraId="165EFB65" w14:textId="4D0B4FC5" w:rsidR="0091748C" w:rsidRPr="001F526F" w:rsidRDefault="001F526F">
      <w:pPr>
        <w:rPr>
          <w:rFonts w:ascii="Arial Black" w:hAnsi="Arial Black"/>
          <w:b/>
          <w:bCs/>
          <w:sz w:val="24"/>
          <w:szCs w:val="24"/>
        </w:rPr>
      </w:pPr>
      <w:r>
        <w:rPr>
          <w:rFonts w:ascii="Arial Black" w:hAnsi="Arial Black"/>
          <w:b/>
          <w:bCs/>
          <w:sz w:val="24"/>
          <w:szCs w:val="24"/>
        </w:rPr>
        <w:t xml:space="preserve">After calculating NPV, goal seek is made such that we allow to change NPV to 0 by changing cell of interest (i.e., IRR) which is (I %) </w:t>
      </w:r>
    </w:p>
    <w:p w14:paraId="0B7CCCCC" w14:textId="77777777" w:rsidR="0091748C" w:rsidRDefault="0091748C">
      <w:pPr>
        <w:rPr>
          <w:rFonts w:ascii="Arial Black" w:hAnsi="Arial Black"/>
          <w:b/>
          <w:bCs/>
          <w:sz w:val="32"/>
          <w:szCs w:val="32"/>
        </w:rPr>
      </w:pPr>
    </w:p>
    <w:p w14:paraId="404D1933" w14:textId="77777777" w:rsidR="0091748C" w:rsidRDefault="0091748C">
      <w:pPr>
        <w:rPr>
          <w:rFonts w:ascii="Arial Black" w:hAnsi="Arial Black"/>
          <w:b/>
          <w:bCs/>
          <w:sz w:val="32"/>
          <w:szCs w:val="32"/>
        </w:rPr>
      </w:pPr>
    </w:p>
    <w:p w14:paraId="1F0ED87B" w14:textId="38E62E2B" w:rsidR="0091748C" w:rsidRDefault="0091748C">
      <w:pPr>
        <w:rPr>
          <w:rFonts w:ascii="Arial Black" w:hAnsi="Arial Black"/>
          <w:b/>
          <w:bCs/>
          <w:sz w:val="32"/>
          <w:szCs w:val="32"/>
        </w:rPr>
      </w:pPr>
    </w:p>
    <w:p w14:paraId="23458FA3" w14:textId="2827EF2A" w:rsidR="00357BA7" w:rsidRDefault="00357BA7">
      <w:pPr>
        <w:rPr>
          <w:rFonts w:ascii="Arial Black" w:hAnsi="Arial Black"/>
          <w:b/>
          <w:bCs/>
          <w:sz w:val="32"/>
          <w:szCs w:val="32"/>
        </w:rPr>
      </w:pPr>
      <w:r>
        <w:rPr>
          <w:rFonts w:ascii="Arial Black" w:hAnsi="Arial Black"/>
          <w:b/>
          <w:bCs/>
          <w:sz w:val="32"/>
          <w:szCs w:val="32"/>
        </w:rPr>
        <w:lastRenderedPageBreak/>
        <w:t>Q3)</w:t>
      </w:r>
      <w:r w:rsidR="00CF6BE8">
        <w:rPr>
          <w:rFonts w:ascii="Arial Black" w:hAnsi="Arial Black"/>
          <w:b/>
          <w:bCs/>
          <w:sz w:val="32"/>
          <w:szCs w:val="32"/>
        </w:rPr>
        <w:t xml:space="preserve"> Same as Q2.</w:t>
      </w:r>
    </w:p>
    <w:p w14:paraId="1C08B4DE" w14:textId="4490EBD6" w:rsidR="00CF6BE8" w:rsidRDefault="00CF6BE8">
      <w:pPr>
        <w:rPr>
          <w:rFonts w:ascii="Arial Black" w:hAnsi="Arial Black"/>
          <w:b/>
          <w:bCs/>
          <w:sz w:val="32"/>
          <w:szCs w:val="32"/>
        </w:rPr>
      </w:pPr>
      <w:r>
        <w:rPr>
          <w:rFonts w:ascii="Arial Black" w:hAnsi="Arial Black"/>
          <w:b/>
          <w:bCs/>
          <w:sz w:val="32"/>
          <w:szCs w:val="32"/>
        </w:rPr>
        <w:t xml:space="preserve">Visualizing the data of Q3. We can see that its NPV is decreasing </w:t>
      </w:r>
    </w:p>
    <w:p w14:paraId="6BC24735" w14:textId="0CE8FB58" w:rsidR="00CF6BE8" w:rsidRDefault="00CF6BE8">
      <w:pPr>
        <w:rPr>
          <w:rFonts w:ascii="Arial Black" w:hAnsi="Arial Black"/>
          <w:b/>
          <w:bCs/>
          <w:sz w:val="32"/>
          <w:szCs w:val="32"/>
        </w:rPr>
      </w:pPr>
      <w:r>
        <w:rPr>
          <w:noProof/>
        </w:rPr>
        <w:drawing>
          <wp:inline distT="0" distB="0" distL="0" distR="0" wp14:anchorId="60FF057B" wp14:editId="506DE83D">
            <wp:extent cx="4660900" cy="2679700"/>
            <wp:effectExtent l="0" t="0" r="6350" b="6350"/>
            <wp:docPr id="1" name="Chart 1">
              <a:extLst xmlns:a="http://schemas.openxmlformats.org/drawingml/2006/main">
                <a:ext uri="{FF2B5EF4-FFF2-40B4-BE49-F238E27FC236}">
                  <a16:creationId xmlns:a16="http://schemas.microsoft.com/office/drawing/2014/main" id="{C4005729-DDC2-4D1C-83C2-28ACA2CD30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169B680" w14:textId="3F6E1026" w:rsidR="00CF6BE8" w:rsidRPr="00557DEA" w:rsidRDefault="00CF6BE8">
      <w:pPr>
        <w:rPr>
          <w:rFonts w:ascii="Arial Black" w:hAnsi="Arial Black"/>
          <w:b/>
          <w:bCs/>
          <w:sz w:val="20"/>
          <w:szCs w:val="20"/>
        </w:rPr>
      </w:pPr>
      <w:r w:rsidRPr="00557DEA">
        <w:rPr>
          <w:rFonts w:ascii="Arial Black" w:hAnsi="Arial Black"/>
          <w:b/>
          <w:bCs/>
          <w:sz w:val="20"/>
          <w:szCs w:val="20"/>
        </w:rPr>
        <w:t>Therefore, after 65</w:t>
      </w:r>
      <w:r w:rsidRPr="00557DEA">
        <w:rPr>
          <w:rFonts w:ascii="Arial Black" w:hAnsi="Arial Black"/>
          <w:b/>
          <w:bCs/>
          <w:sz w:val="20"/>
          <w:szCs w:val="20"/>
          <w:vertAlign w:val="superscript"/>
        </w:rPr>
        <w:t>th</w:t>
      </w:r>
      <w:r w:rsidRPr="00557DEA">
        <w:rPr>
          <w:rFonts w:ascii="Arial Black" w:hAnsi="Arial Black"/>
          <w:b/>
          <w:bCs/>
          <w:sz w:val="20"/>
          <w:szCs w:val="20"/>
        </w:rPr>
        <w:t xml:space="preserve"> year I think as NPV decreases then company will somehow either liquidate their assets or they can continue the company.</w:t>
      </w:r>
    </w:p>
    <w:p w14:paraId="7C6E6562" w14:textId="4F14E03C" w:rsidR="00CF6BE8" w:rsidRDefault="00CF6BE8">
      <w:pPr>
        <w:rPr>
          <w:rFonts w:ascii="Arial Black" w:hAnsi="Arial Black"/>
          <w:b/>
          <w:bCs/>
          <w:sz w:val="20"/>
          <w:szCs w:val="20"/>
        </w:rPr>
      </w:pPr>
      <w:r w:rsidRPr="00557DEA">
        <w:rPr>
          <w:rFonts w:ascii="Arial Black" w:hAnsi="Arial Black"/>
          <w:b/>
          <w:bCs/>
          <w:sz w:val="20"/>
          <w:szCs w:val="20"/>
        </w:rPr>
        <w:t xml:space="preserve">But according to me, </w:t>
      </w:r>
      <w:r w:rsidR="00557DEA" w:rsidRPr="00557DEA">
        <w:rPr>
          <w:rFonts w:ascii="Arial Black" w:hAnsi="Arial Black"/>
          <w:b/>
          <w:bCs/>
          <w:sz w:val="20"/>
          <w:szCs w:val="20"/>
        </w:rPr>
        <w:t>analyzing history we know that in ever 40-50 years there are some new and innovative boom. Like seeing from1980, internet was something new which run for 3-4 decades and after that there we can find a boom of cryptocurrency. So, we can say that after 60-70 years they can go with the next boom which could be there or they can continue with the alternium company based on the situation</w:t>
      </w:r>
      <w:r w:rsidR="00557DEA">
        <w:rPr>
          <w:rFonts w:ascii="Arial Black" w:hAnsi="Arial Black"/>
          <w:b/>
          <w:bCs/>
          <w:sz w:val="20"/>
          <w:szCs w:val="20"/>
        </w:rPr>
        <w:t>.</w:t>
      </w:r>
    </w:p>
    <w:p w14:paraId="6EEB3250" w14:textId="46416871" w:rsidR="00842301" w:rsidRDefault="00E10CF9">
      <w:pPr>
        <w:rPr>
          <w:rFonts w:ascii="Arial Black" w:hAnsi="Arial Black"/>
          <w:b/>
          <w:bCs/>
          <w:sz w:val="20"/>
          <w:szCs w:val="20"/>
        </w:rPr>
      </w:pPr>
      <w:r>
        <w:rPr>
          <w:rFonts w:ascii="Arial Black" w:hAnsi="Arial Black"/>
          <w:b/>
          <w:bCs/>
          <w:sz w:val="20"/>
          <w:szCs w:val="20"/>
        </w:rPr>
        <w:t xml:space="preserve">Also, </w:t>
      </w:r>
      <w:r w:rsidR="00842301">
        <w:rPr>
          <w:rFonts w:ascii="Arial Black" w:hAnsi="Arial Black"/>
          <w:b/>
          <w:bCs/>
          <w:sz w:val="20"/>
          <w:szCs w:val="20"/>
        </w:rPr>
        <w:t>there could be the case like presently, cryptocurrency works on the previous boom of internet so, if this being the case in future which means cryptocurrency will be used to find the next boom, then they can continue the Alternium along with trying to exploring other areas.</w:t>
      </w:r>
    </w:p>
    <w:p w14:paraId="57E992D1" w14:textId="36B23252" w:rsidR="0091748C" w:rsidRPr="008144D5" w:rsidRDefault="0091748C">
      <w:pPr>
        <w:rPr>
          <w:rFonts w:ascii="Arial Black" w:hAnsi="Arial Black"/>
          <w:b/>
          <w:bCs/>
          <w:sz w:val="18"/>
          <w:szCs w:val="18"/>
        </w:rPr>
      </w:pPr>
    </w:p>
    <w:p w14:paraId="4F321322" w14:textId="7F5FB17E" w:rsidR="00842301" w:rsidRPr="008144D5" w:rsidRDefault="0091748C">
      <w:pPr>
        <w:rPr>
          <w:rFonts w:ascii="Arial Black" w:hAnsi="Arial Black"/>
          <w:b/>
          <w:bCs/>
          <w:sz w:val="18"/>
          <w:szCs w:val="18"/>
        </w:rPr>
      </w:pPr>
      <w:r w:rsidRPr="008144D5">
        <w:rPr>
          <w:rFonts w:ascii="Arial Black" w:hAnsi="Arial Black"/>
          <w:b/>
          <w:bCs/>
          <w:sz w:val="28"/>
          <w:szCs w:val="28"/>
        </w:rPr>
        <w:t>NOTE – in Q3. All the data are collected from sheet 4 because it becomes to</w:t>
      </w:r>
      <w:r w:rsidR="008144D5">
        <w:rPr>
          <w:rFonts w:ascii="Arial Black" w:hAnsi="Arial Black"/>
          <w:b/>
          <w:bCs/>
          <w:sz w:val="28"/>
          <w:szCs w:val="28"/>
        </w:rPr>
        <w:t>o</w:t>
      </w:r>
      <w:r w:rsidRPr="008144D5">
        <w:rPr>
          <w:rFonts w:ascii="Arial Black" w:hAnsi="Arial Black"/>
          <w:b/>
          <w:bCs/>
          <w:sz w:val="28"/>
          <w:szCs w:val="28"/>
        </w:rPr>
        <w:t xml:space="preserve"> clumsy to present whole lot of data in one sheet. So, that’s why I have calculated whole data in sheet 4 and then copy </w:t>
      </w:r>
      <w:r w:rsidR="008144D5" w:rsidRPr="008144D5">
        <w:rPr>
          <w:rFonts w:ascii="Arial Black" w:hAnsi="Arial Black"/>
          <w:b/>
          <w:bCs/>
          <w:sz w:val="28"/>
          <w:szCs w:val="28"/>
        </w:rPr>
        <w:t>–</w:t>
      </w:r>
      <w:r w:rsidRPr="008144D5">
        <w:rPr>
          <w:rFonts w:ascii="Arial Black" w:hAnsi="Arial Black"/>
          <w:b/>
          <w:bCs/>
          <w:sz w:val="28"/>
          <w:szCs w:val="28"/>
        </w:rPr>
        <w:t xml:space="preserve"> paste</w:t>
      </w:r>
      <w:r w:rsidR="008144D5" w:rsidRPr="008144D5">
        <w:rPr>
          <w:rFonts w:ascii="Arial Black" w:hAnsi="Arial Black"/>
          <w:b/>
          <w:bCs/>
          <w:sz w:val="28"/>
          <w:szCs w:val="28"/>
        </w:rPr>
        <w:t>d the required things in Q3 sheet</w:t>
      </w:r>
      <w:r w:rsidR="008144D5">
        <w:rPr>
          <w:rFonts w:ascii="Arial Black" w:hAnsi="Arial Black"/>
          <w:b/>
          <w:bCs/>
          <w:sz w:val="28"/>
          <w:szCs w:val="28"/>
        </w:rPr>
        <w:t>.</w:t>
      </w:r>
    </w:p>
    <w:sectPr w:rsidR="00842301" w:rsidRPr="00814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C0"/>
    <w:rsid w:val="001A0EC0"/>
    <w:rsid w:val="001F526F"/>
    <w:rsid w:val="00222B6A"/>
    <w:rsid w:val="00357BA7"/>
    <w:rsid w:val="00503FE5"/>
    <w:rsid w:val="00557DEA"/>
    <w:rsid w:val="008144D5"/>
    <w:rsid w:val="00842301"/>
    <w:rsid w:val="008F2D97"/>
    <w:rsid w:val="0091748C"/>
    <w:rsid w:val="00A523F9"/>
    <w:rsid w:val="00CF6BE8"/>
    <w:rsid w:val="00E10CF9"/>
    <w:rsid w:val="00EC5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02DB"/>
  <w15:chartTrackingRefBased/>
  <w15:docId w15:val="{8F01B0AE-882E-4601-816A-1997BA8DF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gabyb">
    <w:name w:val="mgabyb"/>
    <w:basedOn w:val="DefaultParagraphFont"/>
    <w:rsid w:val="00842301"/>
  </w:style>
  <w:style w:type="character" w:customStyle="1" w:styleId="hgkelc">
    <w:name w:val="hgkelc"/>
    <w:basedOn w:val="DefaultParagraphFont"/>
    <w:rsid w:val="00842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788203">
      <w:bodyDiv w:val="1"/>
      <w:marLeft w:val="0"/>
      <w:marRight w:val="0"/>
      <w:marTop w:val="0"/>
      <w:marBottom w:val="0"/>
      <w:divBdr>
        <w:top w:val="none" w:sz="0" w:space="0" w:color="auto"/>
        <w:left w:val="none" w:sz="0" w:space="0" w:color="auto"/>
        <w:bottom w:val="none" w:sz="0" w:space="0" w:color="auto"/>
        <w:right w:val="none" w:sz="0" w:space="0" w:color="auto"/>
      </w:divBdr>
      <w:divsChild>
        <w:div w:id="1944191965">
          <w:marLeft w:val="-240"/>
          <w:marRight w:val="-240"/>
          <w:marTop w:val="0"/>
          <w:marBottom w:val="0"/>
          <w:divBdr>
            <w:top w:val="none" w:sz="0" w:space="0" w:color="auto"/>
            <w:left w:val="none" w:sz="0" w:space="0" w:color="auto"/>
            <w:bottom w:val="none" w:sz="0" w:space="0" w:color="auto"/>
            <w:right w:val="none" w:sz="0" w:space="0" w:color="auto"/>
          </w:divBdr>
          <w:divsChild>
            <w:div w:id="200823183">
              <w:marLeft w:val="0"/>
              <w:marRight w:val="0"/>
              <w:marTop w:val="0"/>
              <w:marBottom w:val="0"/>
              <w:divBdr>
                <w:top w:val="none" w:sz="0" w:space="0" w:color="auto"/>
                <w:left w:val="none" w:sz="0" w:space="0" w:color="auto"/>
                <w:bottom w:val="none" w:sz="0" w:space="0" w:color="auto"/>
                <w:right w:val="none" w:sz="0" w:space="0" w:color="auto"/>
              </w:divBdr>
              <w:divsChild>
                <w:div w:id="18660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85992">
          <w:marLeft w:val="0"/>
          <w:marRight w:val="0"/>
          <w:marTop w:val="0"/>
          <w:marBottom w:val="0"/>
          <w:divBdr>
            <w:top w:val="none" w:sz="0" w:space="0" w:color="auto"/>
            <w:left w:val="none" w:sz="0" w:space="0" w:color="auto"/>
            <w:bottom w:val="none" w:sz="0" w:space="0" w:color="auto"/>
            <w:right w:val="none" w:sz="0" w:space="0" w:color="auto"/>
          </w:divBdr>
          <w:divsChild>
            <w:div w:id="39324460">
              <w:marLeft w:val="0"/>
              <w:marRight w:val="0"/>
              <w:marTop w:val="0"/>
              <w:marBottom w:val="0"/>
              <w:divBdr>
                <w:top w:val="none" w:sz="0" w:space="0" w:color="auto"/>
                <w:left w:val="none" w:sz="0" w:space="0" w:color="auto"/>
                <w:bottom w:val="none" w:sz="0" w:space="0" w:color="auto"/>
                <w:right w:val="none" w:sz="0" w:space="0" w:color="auto"/>
              </w:divBdr>
              <w:divsChild>
                <w:div w:id="1123419777">
                  <w:marLeft w:val="0"/>
                  <w:marRight w:val="0"/>
                  <w:marTop w:val="0"/>
                  <w:marBottom w:val="0"/>
                  <w:divBdr>
                    <w:top w:val="none" w:sz="0" w:space="0" w:color="auto"/>
                    <w:left w:val="none" w:sz="0" w:space="0" w:color="auto"/>
                    <w:bottom w:val="none" w:sz="0" w:space="0" w:color="auto"/>
                    <w:right w:val="none" w:sz="0" w:space="0" w:color="auto"/>
                  </w:divBdr>
                  <w:divsChild>
                    <w:div w:id="90114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ca41cf36b443fd56/Documents/fm%20and%20excel%20projec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ca41cf36b443fd56/Documents/fm%20and%20excel%20projec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ICF</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TIME</c:v>
          </c:tx>
          <c:spPr>
            <a:ln w="28575" cap="rnd">
              <a:solidFill>
                <a:schemeClr val="accent1"/>
              </a:solidFill>
              <a:round/>
            </a:ln>
            <a:effectLst/>
          </c:spPr>
          <c:marker>
            <c:symbol val="none"/>
          </c:marker>
          <c:val>
            <c:numRef>
              <c:f>'[fm and excel project.xlsx]ICF (Q1)'!$G$3:$G$13</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val>
          <c:smooth val="0"/>
          <c:extLst>
            <c:ext xmlns:c16="http://schemas.microsoft.com/office/drawing/2014/chart" uri="{C3380CC4-5D6E-409C-BE32-E72D297353CC}">
              <c16:uniqueId val="{00000000-1878-4148-A3AF-E46AA7165BA8}"/>
            </c:ext>
          </c:extLst>
        </c:ser>
        <c:ser>
          <c:idx val="1"/>
          <c:order val="1"/>
          <c:tx>
            <c:v>ICF WITHOUT ALTERNIUM</c:v>
          </c:tx>
          <c:spPr>
            <a:ln w="28575" cap="rnd">
              <a:solidFill>
                <a:schemeClr val="accent2"/>
              </a:solidFill>
              <a:round/>
            </a:ln>
            <a:effectLst/>
          </c:spPr>
          <c:marker>
            <c:symbol val="none"/>
          </c:marker>
          <c:val>
            <c:numRef>
              <c:f>'[fm and excel project.xlsx]ICF (Q1)'!$W$3:$W$13</c:f>
              <c:numCache>
                <c:formatCode>_(* #,##0.00_);_(* \(#,##0.00\);_(* "-"??_);_(@_)</c:formatCode>
                <c:ptCount val="11"/>
                <c:pt idx="0">
                  <c:v>9178160000</c:v>
                </c:pt>
                <c:pt idx="1">
                  <c:v>9903200000</c:v>
                </c:pt>
                <c:pt idx="2">
                  <c:v>10625990000</c:v>
                </c:pt>
                <c:pt idx="3">
                  <c:v>11346417500</c:v>
                </c:pt>
                <c:pt idx="4">
                  <c:v>12064364375</c:v>
                </c:pt>
                <c:pt idx="5">
                  <c:v>12779706593.75</c:v>
                </c:pt>
                <c:pt idx="6">
                  <c:v>13492313923.4375</c:v>
                </c:pt>
                <c:pt idx="7">
                  <c:v>14202049619.609375</c:v>
                </c:pt>
                <c:pt idx="8">
                  <c:v>14908770100.589844</c:v>
                </c:pt>
                <c:pt idx="9">
                  <c:v>15612324605.619335</c:v>
                </c:pt>
                <c:pt idx="10">
                  <c:v>16312554835.900303</c:v>
                </c:pt>
              </c:numCache>
            </c:numRef>
          </c:val>
          <c:smooth val="0"/>
          <c:extLst>
            <c:ext xmlns:c16="http://schemas.microsoft.com/office/drawing/2014/chart" uri="{C3380CC4-5D6E-409C-BE32-E72D297353CC}">
              <c16:uniqueId val="{00000001-1878-4148-A3AF-E46AA7165BA8}"/>
            </c:ext>
          </c:extLst>
        </c:ser>
        <c:ser>
          <c:idx val="2"/>
          <c:order val="2"/>
          <c:tx>
            <c:v>ICF WITH ALTERNIUM</c:v>
          </c:tx>
          <c:spPr>
            <a:ln w="28575" cap="rnd">
              <a:solidFill>
                <a:schemeClr val="accent3"/>
              </a:solidFill>
              <a:round/>
            </a:ln>
            <a:effectLst/>
          </c:spPr>
          <c:marker>
            <c:symbol val="none"/>
          </c:marker>
          <c:val>
            <c:numRef>
              <c:f>'[fm and excel project.xlsx]ICF (Q1)'!$AC$21:$AC$31</c:f>
              <c:numCache>
                <c:formatCode>_(* #,##0.00_);_(* \(#,##0.00\);_(* "-"??_);_(@_)</c:formatCode>
                <c:ptCount val="11"/>
                <c:pt idx="0">
                  <c:v>10764000000</c:v>
                </c:pt>
                <c:pt idx="1">
                  <c:v>12483828000</c:v>
                </c:pt>
                <c:pt idx="2">
                  <c:v>13429273000</c:v>
                </c:pt>
                <c:pt idx="3">
                  <c:v>14365617510</c:v>
                </c:pt>
                <c:pt idx="4">
                  <c:v>15291249175.299999</c:v>
                </c:pt>
                <c:pt idx="5">
                  <c:v>16204291462.358997</c:v>
                </c:pt>
                <c:pt idx="6">
                  <c:v>17102562137.423767</c:v>
                </c:pt>
                <c:pt idx="7">
                  <c:v>17983525362.063503</c:v>
                </c:pt>
                <c:pt idx="8">
                  <c:v>18844236435.80592</c:v>
                </c:pt>
                <c:pt idx="9">
                  <c:v>19681278069.636909</c:v>
                </c:pt>
                <c:pt idx="10">
                  <c:v>20490686905.653862</c:v>
                </c:pt>
              </c:numCache>
            </c:numRef>
          </c:val>
          <c:smooth val="0"/>
          <c:extLst>
            <c:ext xmlns:c16="http://schemas.microsoft.com/office/drawing/2014/chart" uri="{C3380CC4-5D6E-409C-BE32-E72D297353CC}">
              <c16:uniqueId val="{00000002-1878-4148-A3AF-E46AA7165BA8}"/>
            </c:ext>
          </c:extLst>
        </c:ser>
        <c:dLbls>
          <c:showLegendKey val="0"/>
          <c:showVal val="0"/>
          <c:showCatName val="0"/>
          <c:showSerName val="0"/>
          <c:showPercent val="0"/>
          <c:showBubbleSize val="0"/>
        </c:dLbls>
        <c:smooth val="0"/>
        <c:axId val="1922809584"/>
        <c:axId val="1922805424"/>
      </c:lineChart>
      <c:catAx>
        <c:axId val="19228095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2805424"/>
        <c:crosses val="autoZero"/>
        <c:auto val="1"/>
        <c:lblAlgn val="ctr"/>
        <c:lblOffset val="100"/>
        <c:noMultiLvlLbl val="0"/>
      </c:catAx>
      <c:valAx>
        <c:axId val="1922805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ICF</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2809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NPV</a:t>
            </a:r>
            <a:r>
              <a:rPr lang="en-US" baseline="0"/>
              <a:t> CHART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v>TIME</c:v>
          </c:tx>
          <c:spPr>
            <a:ln w="28575" cap="rnd">
              <a:solidFill>
                <a:schemeClr val="accent1"/>
              </a:solidFill>
              <a:round/>
            </a:ln>
            <a:effectLst/>
          </c:spPr>
          <c:marker>
            <c:symbol val="none"/>
          </c:marker>
          <c:cat>
            <c:strLit>
              <c:ptCount val="45"/>
              <c:pt idx="0">
                <c:v>11</c:v>
              </c:pt>
              <c:pt idx="1">
                <c:v>12</c:v>
              </c:pt>
              <c:pt idx="2">
                <c:v>13</c:v>
              </c:pt>
              <c:pt idx="3">
                <c:v>14</c:v>
              </c:pt>
              <c:pt idx="4">
                <c:v>15</c:v>
              </c:pt>
              <c:pt idx="5">
                <c:v>16</c:v>
              </c:pt>
              <c:pt idx="6">
                <c:v>17</c:v>
              </c:pt>
              <c:pt idx="7">
                <c:v>18</c:v>
              </c:pt>
              <c:pt idx="8">
                <c:v>19</c:v>
              </c:pt>
              <c:pt idx="9">
                <c:v>20</c:v>
              </c:pt>
              <c:pt idx="10">
                <c:v>21</c:v>
              </c:pt>
              <c:pt idx="11">
                <c:v>22</c:v>
              </c:pt>
              <c:pt idx="12">
                <c:v>23</c:v>
              </c:pt>
              <c:pt idx="13">
                <c:v>24</c:v>
              </c:pt>
              <c:pt idx="14">
                <c:v>25</c:v>
              </c:pt>
              <c:pt idx="15">
                <c:v>26</c:v>
              </c:pt>
              <c:pt idx="16">
                <c:v>27</c:v>
              </c:pt>
              <c:pt idx="17">
                <c:v>28</c:v>
              </c:pt>
              <c:pt idx="18">
                <c:v>29</c:v>
              </c:pt>
              <c:pt idx="19">
                <c:v>30</c:v>
              </c:pt>
              <c:pt idx="20">
                <c:v>31</c:v>
              </c:pt>
              <c:pt idx="21">
                <c:v>32</c:v>
              </c:pt>
              <c:pt idx="22">
                <c:v>33</c:v>
              </c:pt>
              <c:pt idx="23">
                <c:v>34</c:v>
              </c:pt>
              <c:pt idx="24">
                <c:v>35</c:v>
              </c:pt>
              <c:pt idx="25">
                <c:v>36</c:v>
              </c:pt>
              <c:pt idx="26">
                <c:v>37</c:v>
              </c:pt>
              <c:pt idx="27">
                <c:v>38</c:v>
              </c:pt>
              <c:pt idx="28">
                <c:v>39</c:v>
              </c:pt>
              <c:pt idx="29">
                <c:v>40</c:v>
              </c:pt>
              <c:pt idx="30">
                <c:v>41</c:v>
              </c:pt>
              <c:pt idx="31">
                <c:v>42</c:v>
              </c:pt>
              <c:pt idx="32">
                <c:v>43</c:v>
              </c:pt>
              <c:pt idx="33">
                <c:v>44</c:v>
              </c:pt>
              <c:pt idx="34">
                <c:v>45</c:v>
              </c:pt>
              <c:pt idx="35">
                <c:v>46</c:v>
              </c:pt>
              <c:pt idx="36">
                <c:v>47</c:v>
              </c:pt>
              <c:pt idx="37">
                <c:v>48</c:v>
              </c:pt>
              <c:pt idx="38">
                <c:v>49</c:v>
              </c:pt>
              <c:pt idx="39">
                <c:v>50</c:v>
              </c:pt>
              <c:pt idx="40">
                <c:v>51</c:v>
              </c:pt>
              <c:pt idx="41">
                <c:v>52</c:v>
              </c:pt>
              <c:pt idx="42">
                <c:v>53</c:v>
              </c:pt>
              <c:pt idx="43">
                <c:v>54</c:v>
              </c:pt>
              <c:pt idx="44">
                <c:v>55</c:v>
              </c:pt>
              <c:extLst>
                <c:ext xmlns:c15="http://schemas.microsoft.com/office/drawing/2012/chart" uri="{02D57815-91ED-43cb-92C2-25804820EDAC}">
                  <c15:autoCat val="1"/>
                </c:ext>
              </c:extLst>
            </c:strLit>
          </c:cat>
          <c:val>
            <c:numRef>
              <c:f>'[fm and excel project.xlsx]ALTERNIUM LIFE&gt;10YR (Q3)'!$F$16:$F$70</c:f>
              <c:numCache>
                <c:formatCode>General</c:formatCode>
                <c:ptCount val="45"/>
                <c:pt idx="0">
                  <c:v>21</c:v>
                </c:pt>
                <c:pt idx="1">
                  <c:v>22</c:v>
                </c:pt>
                <c:pt idx="2">
                  <c:v>23</c:v>
                </c:pt>
                <c:pt idx="3">
                  <c:v>24</c:v>
                </c:pt>
                <c:pt idx="4">
                  <c:v>25</c:v>
                </c:pt>
                <c:pt idx="5">
                  <c:v>26</c:v>
                </c:pt>
                <c:pt idx="6">
                  <c:v>27</c:v>
                </c:pt>
                <c:pt idx="7">
                  <c:v>28</c:v>
                </c:pt>
                <c:pt idx="8">
                  <c:v>29</c:v>
                </c:pt>
                <c:pt idx="9">
                  <c:v>30</c:v>
                </c:pt>
                <c:pt idx="10">
                  <c:v>31</c:v>
                </c:pt>
                <c:pt idx="11">
                  <c:v>32</c:v>
                </c:pt>
                <c:pt idx="12">
                  <c:v>33</c:v>
                </c:pt>
                <c:pt idx="13">
                  <c:v>34</c:v>
                </c:pt>
                <c:pt idx="14">
                  <c:v>35</c:v>
                </c:pt>
                <c:pt idx="15">
                  <c:v>36</c:v>
                </c:pt>
                <c:pt idx="16">
                  <c:v>37</c:v>
                </c:pt>
                <c:pt idx="17">
                  <c:v>38</c:v>
                </c:pt>
                <c:pt idx="18">
                  <c:v>39</c:v>
                </c:pt>
                <c:pt idx="19">
                  <c:v>40</c:v>
                </c:pt>
                <c:pt idx="20">
                  <c:v>41</c:v>
                </c:pt>
                <c:pt idx="21">
                  <c:v>42</c:v>
                </c:pt>
                <c:pt idx="22">
                  <c:v>43</c:v>
                </c:pt>
                <c:pt idx="23">
                  <c:v>44</c:v>
                </c:pt>
                <c:pt idx="24">
                  <c:v>45</c:v>
                </c:pt>
                <c:pt idx="25">
                  <c:v>46</c:v>
                </c:pt>
                <c:pt idx="26">
                  <c:v>47</c:v>
                </c:pt>
                <c:pt idx="27">
                  <c:v>48</c:v>
                </c:pt>
                <c:pt idx="28">
                  <c:v>49</c:v>
                </c:pt>
                <c:pt idx="29">
                  <c:v>50</c:v>
                </c:pt>
                <c:pt idx="30">
                  <c:v>51</c:v>
                </c:pt>
                <c:pt idx="31">
                  <c:v>52</c:v>
                </c:pt>
                <c:pt idx="32">
                  <c:v>53</c:v>
                </c:pt>
                <c:pt idx="33">
                  <c:v>54</c:v>
                </c:pt>
                <c:pt idx="34">
                  <c:v>55</c:v>
                </c:pt>
                <c:pt idx="35">
                  <c:v>56</c:v>
                </c:pt>
                <c:pt idx="36">
                  <c:v>57</c:v>
                </c:pt>
                <c:pt idx="37">
                  <c:v>58</c:v>
                </c:pt>
                <c:pt idx="38">
                  <c:v>59</c:v>
                </c:pt>
                <c:pt idx="39">
                  <c:v>60</c:v>
                </c:pt>
                <c:pt idx="40">
                  <c:v>61</c:v>
                </c:pt>
                <c:pt idx="41">
                  <c:v>62</c:v>
                </c:pt>
                <c:pt idx="42">
                  <c:v>63</c:v>
                </c:pt>
                <c:pt idx="43">
                  <c:v>64</c:v>
                </c:pt>
                <c:pt idx="44">
                  <c:v>65</c:v>
                </c:pt>
              </c:numCache>
              <c:extLst/>
            </c:numRef>
          </c:val>
          <c:smooth val="0"/>
          <c:extLst>
            <c:ext xmlns:c16="http://schemas.microsoft.com/office/drawing/2014/chart" uri="{C3380CC4-5D6E-409C-BE32-E72D297353CC}">
              <c16:uniqueId val="{00000000-7DED-4088-BBE9-CDF574536149}"/>
            </c:ext>
          </c:extLst>
        </c:ser>
        <c:ser>
          <c:idx val="1"/>
          <c:order val="1"/>
          <c:tx>
            <c:v>NPV</c:v>
          </c:tx>
          <c:spPr>
            <a:ln w="28575" cap="rnd">
              <a:solidFill>
                <a:schemeClr val="accent2"/>
              </a:solidFill>
              <a:round/>
            </a:ln>
            <a:effectLst/>
          </c:spPr>
          <c:marker>
            <c:symbol val="none"/>
          </c:marker>
          <c:cat>
            <c:strLit>
              <c:ptCount val="45"/>
              <c:pt idx="0">
                <c:v>11</c:v>
              </c:pt>
              <c:pt idx="1">
                <c:v>12</c:v>
              </c:pt>
              <c:pt idx="2">
                <c:v>13</c:v>
              </c:pt>
              <c:pt idx="3">
                <c:v>14</c:v>
              </c:pt>
              <c:pt idx="4">
                <c:v>15</c:v>
              </c:pt>
              <c:pt idx="5">
                <c:v>16</c:v>
              </c:pt>
              <c:pt idx="6">
                <c:v>17</c:v>
              </c:pt>
              <c:pt idx="7">
                <c:v>18</c:v>
              </c:pt>
              <c:pt idx="8">
                <c:v>19</c:v>
              </c:pt>
              <c:pt idx="9">
                <c:v>20</c:v>
              </c:pt>
              <c:pt idx="10">
                <c:v>21</c:v>
              </c:pt>
              <c:pt idx="11">
                <c:v>22</c:v>
              </c:pt>
              <c:pt idx="12">
                <c:v>23</c:v>
              </c:pt>
              <c:pt idx="13">
                <c:v>24</c:v>
              </c:pt>
              <c:pt idx="14">
                <c:v>25</c:v>
              </c:pt>
              <c:pt idx="15">
                <c:v>26</c:v>
              </c:pt>
              <c:pt idx="16">
                <c:v>27</c:v>
              </c:pt>
              <c:pt idx="17">
                <c:v>28</c:v>
              </c:pt>
              <c:pt idx="18">
                <c:v>29</c:v>
              </c:pt>
              <c:pt idx="19">
                <c:v>30</c:v>
              </c:pt>
              <c:pt idx="20">
                <c:v>31</c:v>
              </c:pt>
              <c:pt idx="21">
                <c:v>32</c:v>
              </c:pt>
              <c:pt idx="22">
                <c:v>33</c:v>
              </c:pt>
              <c:pt idx="23">
                <c:v>34</c:v>
              </c:pt>
              <c:pt idx="24">
                <c:v>35</c:v>
              </c:pt>
              <c:pt idx="25">
                <c:v>36</c:v>
              </c:pt>
              <c:pt idx="26">
                <c:v>37</c:v>
              </c:pt>
              <c:pt idx="27">
                <c:v>38</c:v>
              </c:pt>
              <c:pt idx="28">
                <c:v>39</c:v>
              </c:pt>
              <c:pt idx="29">
                <c:v>40</c:v>
              </c:pt>
              <c:pt idx="30">
                <c:v>41</c:v>
              </c:pt>
              <c:pt idx="31">
                <c:v>42</c:v>
              </c:pt>
              <c:pt idx="32">
                <c:v>43</c:v>
              </c:pt>
              <c:pt idx="33">
                <c:v>44</c:v>
              </c:pt>
              <c:pt idx="34">
                <c:v>45</c:v>
              </c:pt>
              <c:pt idx="35">
                <c:v>46</c:v>
              </c:pt>
              <c:pt idx="36">
                <c:v>47</c:v>
              </c:pt>
              <c:pt idx="37">
                <c:v>48</c:v>
              </c:pt>
              <c:pt idx="38">
                <c:v>49</c:v>
              </c:pt>
              <c:pt idx="39">
                <c:v>50</c:v>
              </c:pt>
              <c:pt idx="40">
                <c:v>51</c:v>
              </c:pt>
              <c:pt idx="41">
                <c:v>52</c:v>
              </c:pt>
              <c:pt idx="42">
                <c:v>53</c:v>
              </c:pt>
              <c:pt idx="43">
                <c:v>54</c:v>
              </c:pt>
              <c:pt idx="44">
                <c:v>55</c:v>
              </c:pt>
              <c:extLst>
                <c:ext xmlns:c15="http://schemas.microsoft.com/office/drawing/2012/chart" uri="{02D57815-91ED-43cb-92C2-25804820EDAC}">
                  <c15:autoCat val="1"/>
                </c:ext>
              </c:extLst>
            </c:strLit>
          </c:cat>
          <c:val>
            <c:numRef>
              <c:f>'[fm and excel project.xlsx]ALTERNIUM LIFE&gt;10YR (Q3)'!$Q$16:$Q$70</c:f>
              <c:numCache>
                <c:formatCode>_(* #,##0.00_);_(* \(#,##0.00\);_(* "-"??_);_(@_)</c:formatCode>
                <c:ptCount val="45"/>
                <c:pt idx="0">
                  <c:v>438983399.22457826</c:v>
                </c:pt>
                <c:pt idx="1">
                  <c:v>407393299.74825972</c:v>
                </c:pt>
                <c:pt idx="2">
                  <c:v>377971548.58270127</c:v>
                </c:pt>
                <c:pt idx="3">
                  <c:v>350591736.46977663</c:v>
                </c:pt>
                <c:pt idx="4">
                  <c:v>325131483.55357361</c:v>
                </c:pt>
                <c:pt idx="5">
                  <c:v>301472867.70590228</c:v>
                </c:pt>
                <c:pt idx="6">
                  <c:v>279502729.39279675</c:v>
                </c:pt>
                <c:pt idx="7">
                  <c:v>259112873.26516446</c:v>
                </c:pt>
                <c:pt idx="8">
                  <c:v>240200183.87558275</c:v>
                </c:pt>
                <c:pt idx="9">
                  <c:v>222666670.49451736</c:v>
                </c:pt>
                <c:pt idx="10">
                  <c:v>206419453.88047606</c:v>
                </c:pt>
                <c:pt idx="11">
                  <c:v>191370706.01225591</c:v>
                </c:pt>
                <c:pt idx="12">
                  <c:v>177437552.18436664</c:v>
                </c:pt>
                <c:pt idx="13">
                  <c:v>164541943.46964967</c:v>
                </c:pt>
                <c:pt idx="14">
                  <c:v>152610506.3402591</c:v>
                </c:pt>
                <c:pt idx="15">
                  <c:v>141574375.1867696</c:v>
                </c:pt>
                <c:pt idx="16">
                  <c:v>131369012.56516191</c:v>
                </c:pt>
                <c:pt idx="17">
                  <c:v>121934021.21514195</c:v>
                </c:pt>
                <c:pt idx="18">
                  <c:v>113212951.21511194</c:v>
                </c:pt>
                <c:pt idx="19">
                  <c:v>105153105.05543934</c:v>
                </c:pt>
                <c:pt idx="20">
                  <c:v>97705342.910418689</c:v>
                </c:pt>
                <c:pt idx="21">
                  <c:v>90823889.959903866</c:v>
                </c:pt>
                <c:pt idx="22">
                  <c:v>84466147.244712114</c:v>
                </c:pt>
                <c:pt idx="23">
                  <c:v>78592507.22739467</c:v>
                </c:pt>
                <c:pt idx="24">
                  <c:v>73166174.964681387</c:v>
                </c:pt>
                <c:pt idx="25">
                  <c:v>68152995.573553473</c:v>
                </c:pt>
                <c:pt idx="26">
                  <c:v>63521288.483989671</c:v>
                </c:pt>
                <c:pt idx="27">
                  <c:v>59241688.813150592</c:v>
                </c:pt>
                <c:pt idx="28">
                  <c:v>55286996.063911945</c:v>
                </c:pt>
                <c:pt idx="29">
                  <c:v>51632030.241552144</c:v>
                </c:pt>
                <c:pt idx="30">
                  <c:v>48253495.392840132</c:v>
                </c:pt>
                <c:pt idx="31">
                  <c:v>45129850.498958841</c:v>
                </c:pt>
                <c:pt idx="32">
                  <c:v>42241187.595205665</c:v>
                </c:pt>
                <c:pt idx="33">
                  <c:v>39569116.944116041</c:v>
                </c:pt>
                <c:pt idx="34">
                  <c:v>37096659.052725717</c:v>
                </c:pt>
                <c:pt idx="35">
                  <c:v>34808143.297520861</c:v>
                </c:pt>
                <c:pt idx="36">
                  <c:v>32689112.900851477</c:v>
                </c:pt>
                <c:pt idx="37">
                  <c:v>30726235.988999598</c:v>
                </c:pt>
                <c:pt idx="38">
                  <c:v>28907222.453679509</c:v>
                </c:pt>
                <c:pt idx="39">
                  <c:v>27220746.334607776</c:v>
                </c:pt>
                <c:pt idx="40">
                  <c:v>25656373.440160137</c:v>
                </c:pt>
                <c:pt idx="41">
                  <c:v>24204493.925373711</c:v>
                </c:pt>
                <c:pt idx="42">
                  <c:v>22856259.551098853</c:v>
                </c:pt>
                <c:pt idx="43">
                  <c:v>21603525.354479846</c:v>
                </c:pt>
                <c:pt idx="44">
                  <c:v>20438795.468741424</c:v>
                </c:pt>
              </c:numCache>
              <c:extLst/>
            </c:numRef>
          </c:val>
          <c:smooth val="0"/>
          <c:extLst>
            <c:ext xmlns:c16="http://schemas.microsoft.com/office/drawing/2014/chart" uri="{C3380CC4-5D6E-409C-BE32-E72D297353CC}">
              <c16:uniqueId val="{00000001-7DED-4088-BBE9-CDF574536149}"/>
            </c:ext>
          </c:extLst>
        </c:ser>
        <c:dLbls>
          <c:showLegendKey val="0"/>
          <c:showVal val="0"/>
          <c:showCatName val="0"/>
          <c:showSerName val="0"/>
          <c:showPercent val="0"/>
          <c:showBubbleSize val="0"/>
        </c:dLbls>
        <c:smooth val="0"/>
        <c:axId val="1973708400"/>
        <c:axId val="1973719216"/>
      </c:lineChart>
      <c:catAx>
        <c:axId val="1973708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3719216"/>
        <c:crosses val="autoZero"/>
        <c:auto val="1"/>
        <c:lblAlgn val="ctr"/>
        <c:lblOffset val="100"/>
        <c:noMultiLvlLbl val="0"/>
      </c:catAx>
      <c:valAx>
        <c:axId val="1973719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NPV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3708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Jatin Modi</dc:creator>
  <cp:keywords/>
  <dc:description/>
  <cp:lastModifiedBy>Jatin Modi</cp:lastModifiedBy>
  <cp:revision>14</cp:revision>
  <dcterms:created xsi:type="dcterms:W3CDTF">2022-02-13T05:21:00Z</dcterms:created>
  <dcterms:modified xsi:type="dcterms:W3CDTF">2022-02-19T18:56:00Z</dcterms:modified>
</cp:coreProperties>
</file>