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049E0" w14:textId="72523880" w:rsidR="005C2E97" w:rsidRDefault="00965030">
      <w:pPr>
        <w:contextualSpacing/>
      </w:pPr>
      <w:r>
        <w:t>1</w:t>
      </w:r>
      <w:r w:rsidR="005C2E97">
        <w:t>)</w:t>
      </w:r>
    </w:p>
    <w:p w14:paraId="3D5A58D9" w14:textId="4BD82279" w:rsidR="00900F20" w:rsidRDefault="0017193C">
      <w:pPr>
        <w:contextualSpacing/>
      </w:pPr>
      <w:r>
        <w:t xml:space="preserve">The Money Control Newsletter is based on the current live trading session as of </w:t>
      </w:r>
      <w:r w:rsidR="00965030">
        <w:t>29</w:t>
      </w:r>
      <w:r>
        <w:t>-04-2022.</w:t>
      </w:r>
    </w:p>
    <w:p w14:paraId="0B6CC414" w14:textId="7063BD19" w:rsidR="00900F20" w:rsidRPr="00724A97" w:rsidRDefault="00900F20">
      <w:pPr>
        <w:contextualSpacing/>
        <w:rPr>
          <w:b/>
          <w:bCs/>
        </w:rPr>
      </w:pPr>
      <w:r w:rsidRPr="00724A97">
        <w:rPr>
          <w:b/>
          <w:bCs/>
        </w:rPr>
        <w:t>Market Action</w:t>
      </w:r>
    </w:p>
    <w:p w14:paraId="52570B92" w14:textId="77777777" w:rsidR="00900F20" w:rsidRDefault="00900F20">
      <w:pPr>
        <w:contextualSpacing/>
      </w:pPr>
    </w:p>
    <w:p w14:paraId="2B46F269" w14:textId="657C499A" w:rsidR="005C2E97" w:rsidRDefault="00724A97">
      <w:pPr>
        <w:contextualSpacing/>
      </w:pPr>
      <w:r>
        <w:t xml:space="preserve">    </w:t>
      </w:r>
      <w:r w:rsidR="00965030" w:rsidRPr="00965030">
        <w:drawing>
          <wp:inline distT="0" distB="0" distL="0" distR="0" wp14:anchorId="632D434D" wp14:editId="2F352046">
            <wp:extent cx="1981200" cy="20445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1408" cy="205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 w:rsidR="005027F0" w:rsidRPr="005027F0">
        <w:drawing>
          <wp:inline distT="0" distB="0" distL="0" distR="0" wp14:anchorId="6C208FDB" wp14:editId="670D688E">
            <wp:extent cx="2000237" cy="2012950"/>
            <wp:effectExtent l="0" t="0" r="635" b="635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2424" cy="2025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87A08" w14:textId="7BDE368C" w:rsidR="005C2E97" w:rsidRDefault="005C2E97">
      <w:pPr>
        <w:contextualSpacing/>
      </w:pPr>
      <w:r>
        <w:t>The Indian markets are down by around 0.</w:t>
      </w:r>
      <w:r w:rsidR="005027F0">
        <w:t>83</w:t>
      </w:r>
      <w:r>
        <w:t>%</w:t>
      </w:r>
      <w:r w:rsidR="005027F0">
        <w:t xml:space="preserve"> as per NIFTY50</w:t>
      </w:r>
      <w:r>
        <w:t>.</w:t>
      </w:r>
      <w:r w:rsidR="00900F20">
        <w:t xml:space="preserve"> </w:t>
      </w:r>
      <w:r w:rsidR="005027F0">
        <w:t>For the global markets we can see there has been a significant fall in the Nasdaq (Apr 30) equal to 4.17% and oth</w:t>
      </w:r>
      <w:r w:rsidR="00814B77">
        <w:t xml:space="preserve">er global indexes show movements in their latest trading session. </w:t>
      </w:r>
      <w:r w:rsidR="00900F20">
        <w:t xml:space="preserve"> </w:t>
      </w:r>
    </w:p>
    <w:p w14:paraId="73DAC4CE" w14:textId="77777777" w:rsidR="005C2E97" w:rsidRDefault="005C2E97">
      <w:pPr>
        <w:contextualSpacing/>
      </w:pPr>
    </w:p>
    <w:p w14:paraId="768BFD74" w14:textId="604593DA" w:rsidR="005C2E97" w:rsidRDefault="00814B77">
      <w:pPr>
        <w:contextualSpacing/>
      </w:pPr>
      <w:r w:rsidRPr="00814B77">
        <w:drawing>
          <wp:inline distT="0" distB="0" distL="0" distR="0" wp14:anchorId="68460103" wp14:editId="1CE82B7D">
            <wp:extent cx="2006600" cy="1419406"/>
            <wp:effectExtent l="0" t="0" r="0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14789" cy="1425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5099B" w14:textId="2C8F5686" w:rsidR="005C2E97" w:rsidRDefault="00724A97">
      <w:pPr>
        <w:contextualSpacing/>
      </w:pPr>
      <w:r>
        <w:t>In the previous trading session</w:t>
      </w:r>
      <w:r w:rsidR="005C2E97">
        <w:t xml:space="preserve"> </w:t>
      </w:r>
      <w:r w:rsidR="00D839EF">
        <w:t xml:space="preserve">net selling </w:t>
      </w:r>
      <w:r w:rsidR="00814B77">
        <w:t xml:space="preserve">of FII activities outperform Net DII buying activities.  </w:t>
      </w:r>
    </w:p>
    <w:p w14:paraId="6EB63937" w14:textId="77777777" w:rsidR="00D839EF" w:rsidRDefault="00D839EF">
      <w:pPr>
        <w:contextualSpacing/>
      </w:pPr>
    </w:p>
    <w:p w14:paraId="27DB26B9" w14:textId="2AFA12E1" w:rsidR="005C2E97" w:rsidRDefault="00814B77">
      <w:pPr>
        <w:contextualSpacing/>
      </w:pPr>
      <w:r w:rsidRPr="00965030">
        <w:drawing>
          <wp:inline distT="0" distB="0" distL="0" distR="0" wp14:anchorId="2FA98F51" wp14:editId="16EBE39B">
            <wp:extent cx="1981200" cy="204456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1408" cy="205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4B77">
        <w:drawing>
          <wp:inline distT="0" distB="0" distL="0" distR="0" wp14:anchorId="56B30E17" wp14:editId="5823E5E5">
            <wp:extent cx="1739900" cy="2007876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1867" cy="2021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C8B6F" w14:textId="2C3F640C" w:rsidR="00D839EF" w:rsidRDefault="00D839EF">
      <w:pPr>
        <w:contextualSpacing/>
      </w:pPr>
      <w:r>
        <w:t xml:space="preserve">The fall that we see was mostly led by the </w:t>
      </w:r>
      <w:r w:rsidR="00814B77">
        <w:t>Bank</w:t>
      </w:r>
      <w:r>
        <w:t xml:space="preserve"> Stocks with the NIFTY </w:t>
      </w:r>
      <w:r w:rsidR="00814B77">
        <w:t>BANK</w:t>
      </w:r>
      <w:r>
        <w:t xml:space="preserve"> Index falling around 0.</w:t>
      </w:r>
      <w:r w:rsidR="00814B77">
        <w:t>92</w:t>
      </w:r>
      <w:r>
        <w:t>%.</w:t>
      </w:r>
    </w:p>
    <w:p w14:paraId="6E7251FA" w14:textId="441D4E92" w:rsidR="00D839EF" w:rsidRDefault="00D839EF">
      <w:pPr>
        <w:contextualSpacing/>
      </w:pPr>
    </w:p>
    <w:p w14:paraId="335C1753" w14:textId="34C0BB7C" w:rsidR="00D839EF" w:rsidRDefault="003E77F2">
      <w:pPr>
        <w:contextualSpacing/>
      </w:pPr>
      <w:r>
        <w:t>Top 5 Nifty 50 Losers</w:t>
      </w:r>
    </w:p>
    <w:p w14:paraId="60E55A4A" w14:textId="7E9F876E" w:rsidR="003E77F2" w:rsidRDefault="0007170A">
      <w:pPr>
        <w:contextualSpacing/>
      </w:pPr>
      <w:r w:rsidRPr="0007170A">
        <w:lastRenderedPageBreak/>
        <w:drawing>
          <wp:inline distT="0" distB="0" distL="0" distR="0" wp14:anchorId="491B7BB3" wp14:editId="4047C092">
            <wp:extent cx="2089150" cy="1889997"/>
            <wp:effectExtent l="0" t="0" r="635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01170" cy="1900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C3E75" w14:textId="38867855" w:rsidR="00724A97" w:rsidRDefault="00724A97">
      <w:pPr>
        <w:contextualSpacing/>
      </w:pPr>
      <w:r>
        <w:t xml:space="preserve">The </w:t>
      </w:r>
      <w:r w:rsidR="0007170A">
        <w:t>Axis Bank has</w:t>
      </w:r>
      <w:r>
        <w:t xml:space="preserve"> the major chunk of the falling Nifty 50 index.</w:t>
      </w:r>
    </w:p>
    <w:p w14:paraId="2587471D" w14:textId="77777777" w:rsidR="00724A97" w:rsidRDefault="00724A97">
      <w:pPr>
        <w:contextualSpacing/>
      </w:pPr>
    </w:p>
    <w:p w14:paraId="010B8EC0" w14:textId="579D2FFB" w:rsidR="003E77F2" w:rsidRDefault="003E77F2">
      <w:pPr>
        <w:contextualSpacing/>
      </w:pPr>
      <w:r>
        <w:t>Top 5 Nifty 50 Gainers</w:t>
      </w:r>
    </w:p>
    <w:p w14:paraId="44469915" w14:textId="55A5F82C" w:rsidR="003E77F2" w:rsidRDefault="0007170A">
      <w:pPr>
        <w:contextualSpacing/>
      </w:pPr>
      <w:r w:rsidRPr="0007170A">
        <w:drawing>
          <wp:inline distT="0" distB="0" distL="0" distR="0" wp14:anchorId="5B2EA16D" wp14:editId="0C47D36D">
            <wp:extent cx="2082800" cy="1888608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90741" cy="1895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DF0FC" w14:textId="16C9B690" w:rsidR="003E77F2" w:rsidRDefault="0007170A">
      <w:pPr>
        <w:contextualSpacing/>
      </w:pPr>
      <w:r>
        <w:t>HDFC Life</w:t>
      </w:r>
      <w:r w:rsidR="00724A97">
        <w:t xml:space="preserve"> has gained the most in the current trading session out of the Nifty 50 index elements.</w:t>
      </w:r>
    </w:p>
    <w:p w14:paraId="40A8EE7B" w14:textId="77777777" w:rsidR="00724A97" w:rsidRDefault="00724A97">
      <w:pPr>
        <w:contextualSpacing/>
      </w:pPr>
    </w:p>
    <w:p w14:paraId="05D43581" w14:textId="52BB78FE" w:rsidR="003E77F2" w:rsidRPr="00724A97" w:rsidRDefault="003E77F2">
      <w:pPr>
        <w:contextualSpacing/>
        <w:rPr>
          <w:b/>
          <w:bCs/>
        </w:rPr>
      </w:pPr>
      <w:r w:rsidRPr="00724A97">
        <w:rPr>
          <w:b/>
          <w:bCs/>
        </w:rPr>
        <w:t>India VIX</w:t>
      </w:r>
    </w:p>
    <w:p w14:paraId="4BC31134" w14:textId="19DB70C1" w:rsidR="00724A97" w:rsidRDefault="0007170A">
      <w:pPr>
        <w:contextualSpacing/>
      </w:pPr>
      <w:r w:rsidRPr="0007170A">
        <w:drawing>
          <wp:inline distT="0" distB="0" distL="0" distR="0" wp14:anchorId="12816E03" wp14:editId="213B8056">
            <wp:extent cx="1758950" cy="380050"/>
            <wp:effectExtent l="0" t="0" r="0" b="127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86446" cy="385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DE0E1" w14:textId="2CD2558E" w:rsidR="00D419AD" w:rsidRPr="00D419AD" w:rsidRDefault="00D419AD">
      <w:pPr>
        <w:contextualSpacing/>
        <w:rPr>
          <w:b/>
          <w:bCs/>
        </w:rPr>
      </w:pPr>
      <w:r w:rsidRPr="00D419AD">
        <w:rPr>
          <w:b/>
          <w:bCs/>
        </w:rPr>
        <w:t>Stock Action</w:t>
      </w:r>
    </w:p>
    <w:p w14:paraId="52A9A936" w14:textId="505BE950" w:rsidR="003E77F2" w:rsidRDefault="0007170A">
      <w:pPr>
        <w:contextualSpacing/>
      </w:pPr>
      <w:r w:rsidRPr="0007170A">
        <w:drawing>
          <wp:inline distT="0" distB="0" distL="0" distR="0" wp14:anchorId="71129081" wp14:editId="05B60B87">
            <wp:extent cx="5731510" cy="2308225"/>
            <wp:effectExtent l="0" t="0" r="254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0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DF356" w14:textId="77777777" w:rsidR="0017193C" w:rsidRDefault="0017193C">
      <w:pPr>
        <w:contextualSpacing/>
      </w:pPr>
    </w:p>
    <w:p w14:paraId="2CCB5F31" w14:textId="1E59EED7" w:rsidR="0017193C" w:rsidRDefault="0007170A">
      <w:pPr>
        <w:contextualSpacing/>
      </w:pPr>
      <w:r w:rsidRPr="0007170A">
        <w:lastRenderedPageBreak/>
        <w:drawing>
          <wp:inline distT="0" distB="0" distL="0" distR="0" wp14:anchorId="7B2C6DCB" wp14:editId="26A55740">
            <wp:extent cx="5731510" cy="2275840"/>
            <wp:effectExtent l="0" t="0" r="254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7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19744" w14:textId="2BD4ED73" w:rsidR="005F0162" w:rsidRDefault="005F0162">
      <w:pPr>
        <w:contextualSpacing/>
      </w:pPr>
    </w:p>
    <w:p w14:paraId="22A61990" w14:textId="7020886F" w:rsidR="005F0162" w:rsidRPr="005F0162" w:rsidRDefault="005F0162">
      <w:pPr>
        <w:contextualSpacing/>
        <w:rPr>
          <w:b/>
          <w:bCs/>
        </w:rPr>
      </w:pPr>
      <w:r w:rsidRPr="005F0162">
        <w:rPr>
          <w:b/>
          <w:bCs/>
        </w:rPr>
        <w:t>News Area</w:t>
      </w:r>
    </w:p>
    <w:p w14:paraId="38FBD80A" w14:textId="77777777" w:rsidR="005F0162" w:rsidRDefault="005F0162">
      <w:pPr>
        <w:contextualSpacing/>
      </w:pPr>
    </w:p>
    <w:p w14:paraId="2B1EEAAF" w14:textId="5FB189AF" w:rsidR="005F0162" w:rsidRDefault="005F0162">
      <w:pPr>
        <w:contextualSpacing/>
      </w:pPr>
      <w:r w:rsidRPr="005F0162">
        <w:rPr>
          <w:noProof/>
        </w:rPr>
        <w:drawing>
          <wp:inline distT="0" distB="0" distL="0" distR="0" wp14:anchorId="77FD968C" wp14:editId="444D68FE">
            <wp:extent cx="4103225" cy="1702479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07272" cy="1704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F7A15" w14:textId="56B69EF4" w:rsidR="005F0162" w:rsidRDefault="002D165A">
      <w:pPr>
        <w:contextualSpacing/>
      </w:pPr>
      <w:hyperlink r:id="rId15" w:history="1">
        <w:r w:rsidR="005F0162" w:rsidRPr="00D63585">
          <w:rPr>
            <w:rStyle w:val="Hyperlink"/>
          </w:rPr>
          <w:t>https://www.moneycontrol.com/news/business/stocks/titan-company-weak-quarterly-numbers-but-strong-long-term-growth-prospects-8327841.html</w:t>
        </w:r>
      </w:hyperlink>
    </w:p>
    <w:p w14:paraId="0E37AC3A" w14:textId="7C89533F" w:rsidR="005F0162" w:rsidRDefault="005F0162">
      <w:pPr>
        <w:contextualSpacing/>
      </w:pPr>
    </w:p>
    <w:p w14:paraId="3B4BA2CE" w14:textId="74679ACB" w:rsidR="005F0162" w:rsidRDefault="00160AF3">
      <w:pPr>
        <w:contextualSpacing/>
      </w:pPr>
      <w:r w:rsidRPr="00160AF3">
        <w:rPr>
          <w:noProof/>
        </w:rPr>
        <w:drawing>
          <wp:inline distT="0" distB="0" distL="0" distR="0" wp14:anchorId="31BBB2DC" wp14:editId="6561CFA3">
            <wp:extent cx="4166703" cy="1736203"/>
            <wp:effectExtent l="0" t="0" r="571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78675" cy="1741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A643E" w14:textId="6E3BF4CA" w:rsidR="00160AF3" w:rsidRDefault="002D165A">
      <w:pPr>
        <w:contextualSpacing/>
      </w:pPr>
      <w:hyperlink r:id="rId17" w:history="1">
        <w:r w:rsidR="00160AF3" w:rsidRPr="00D63585">
          <w:rPr>
            <w:rStyle w:val="Hyperlink"/>
          </w:rPr>
          <w:t>https://www.moneycontrol.com/news/business/moneycontrol-research/godrej-consumer-products-pricing-led-growth-in-revenue-but-pressure-is-on-margins-8327591.html</w:t>
        </w:r>
      </w:hyperlink>
    </w:p>
    <w:p w14:paraId="4F6C2E7B" w14:textId="77777777" w:rsidR="00160AF3" w:rsidRDefault="00160AF3">
      <w:pPr>
        <w:contextualSpacing/>
      </w:pPr>
    </w:p>
    <w:p w14:paraId="68509887" w14:textId="76F86F0C" w:rsidR="00D419AD" w:rsidRDefault="00D419AD">
      <w:pPr>
        <w:contextualSpacing/>
      </w:pPr>
    </w:p>
    <w:p w14:paraId="33C910CD" w14:textId="18FE208C" w:rsidR="00D419AD" w:rsidRDefault="0007170A">
      <w:pPr>
        <w:contextualSpacing/>
      </w:pPr>
      <w:r>
        <w:t>2</w:t>
      </w:r>
      <w:r w:rsidR="00D419AD">
        <w:t>)</w:t>
      </w:r>
    </w:p>
    <w:p w14:paraId="7A0CE80C" w14:textId="1B7163C8" w:rsidR="00D419AD" w:rsidRDefault="00D419AD">
      <w:pPr>
        <w:contextualSpacing/>
      </w:pPr>
      <w:r>
        <w:t>a. The Bears</w:t>
      </w:r>
    </w:p>
    <w:p w14:paraId="0A33BF73" w14:textId="17B53D24" w:rsidR="00D419AD" w:rsidRDefault="00D419AD">
      <w:pPr>
        <w:contextualSpacing/>
      </w:pPr>
      <w:r>
        <w:t xml:space="preserve">b. We witness a </w:t>
      </w:r>
      <w:r w:rsidR="0007170A">
        <w:t>positive</w:t>
      </w:r>
      <w:r>
        <w:t xml:space="preserve"> change of 0.1</w:t>
      </w:r>
      <w:r w:rsidR="0007170A">
        <w:t>5</w:t>
      </w:r>
      <w:r>
        <w:t>% in the fear index standing at 1</w:t>
      </w:r>
      <w:r w:rsidR="0007170A">
        <w:t>9.41</w:t>
      </w:r>
      <w:r>
        <w:t>, making it nothing to worry about.</w:t>
      </w:r>
    </w:p>
    <w:p w14:paraId="5EDEB1B3" w14:textId="5409A443" w:rsidR="00902E13" w:rsidRDefault="00D419AD">
      <w:pPr>
        <w:contextualSpacing/>
      </w:pPr>
      <w:r>
        <w:t xml:space="preserve">c. </w:t>
      </w:r>
      <w:r w:rsidR="00902E13">
        <w:t>Axis Bank has</w:t>
      </w:r>
      <w:r>
        <w:t xml:space="preserve"> major influence over the market movement </w:t>
      </w:r>
      <w:r w:rsidR="006D13F1">
        <w:t xml:space="preserve">where </w:t>
      </w:r>
      <w:r w:rsidR="00902E13">
        <w:t>it has fallen by 6.57%</w:t>
      </w:r>
    </w:p>
    <w:p w14:paraId="10EF8D29" w14:textId="77777777" w:rsidR="00902E13" w:rsidRDefault="00902E13">
      <w:pPr>
        <w:contextualSpacing/>
      </w:pPr>
    </w:p>
    <w:p w14:paraId="7A83A0F7" w14:textId="28600CE6" w:rsidR="001A3A49" w:rsidRDefault="001A3A49">
      <w:pPr>
        <w:contextualSpacing/>
      </w:pPr>
      <w:r>
        <w:lastRenderedPageBreak/>
        <w:t>d.</w:t>
      </w:r>
    </w:p>
    <w:p w14:paraId="14FD1F97" w14:textId="5E16ED6B" w:rsidR="006D13F1" w:rsidRDefault="006D13F1">
      <w:pPr>
        <w:contextualSpacing/>
      </w:pPr>
      <w:r>
        <w:t xml:space="preserve"> </w:t>
      </w:r>
      <w:r w:rsidR="00274BF6" w:rsidRPr="00274BF6">
        <w:drawing>
          <wp:inline distT="0" distB="0" distL="0" distR="0" wp14:anchorId="309F199C" wp14:editId="739A9252">
            <wp:extent cx="3854450" cy="1036423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65028" cy="1039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08839" w14:textId="615FBAE6" w:rsidR="001A3A49" w:rsidRDefault="00C25D19">
      <w:pPr>
        <w:contextualSpacing/>
      </w:pPr>
      <w:r w:rsidRPr="00C25D19">
        <w:drawing>
          <wp:inline distT="0" distB="0" distL="0" distR="0" wp14:anchorId="3091F1C8" wp14:editId="22E082F9">
            <wp:extent cx="2292350" cy="1752469"/>
            <wp:effectExtent l="0" t="0" r="0" b="63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02114" cy="1759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355F3" w14:textId="132A9C7A" w:rsidR="001A3A49" w:rsidRDefault="006D13F1">
      <w:pPr>
        <w:contextualSpacing/>
      </w:pPr>
      <w:r>
        <w:t xml:space="preserve">Nifty </w:t>
      </w:r>
      <w:r w:rsidR="00C25D19">
        <w:t>Pharma</w:t>
      </w:r>
      <w:r>
        <w:t xml:space="preserve"> is the </w:t>
      </w:r>
      <w:r w:rsidR="00C25D19">
        <w:t>least hit</w:t>
      </w:r>
      <w:r>
        <w:t xml:space="preserve"> sector in the current trading session with a </w:t>
      </w:r>
      <w:r w:rsidR="00C25D19">
        <w:t>fall</w:t>
      </w:r>
      <w:r>
        <w:t xml:space="preserve"> of </w:t>
      </w:r>
      <w:r w:rsidR="00C25D19">
        <w:t>0.13</w:t>
      </w:r>
      <w:r>
        <w:t>%</w:t>
      </w:r>
      <w:r w:rsidR="001A3A49">
        <w:t xml:space="preserve">. Above are the top performing stocks in the </w:t>
      </w:r>
      <w:proofErr w:type="spellStart"/>
      <w:r w:rsidR="00C25D19">
        <w:t>Phrama</w:t>
      </w:r>
      <w:proofErr w:type="spellEnd"/>
      <w:r w:rsidR="00C25D19">
        <w:t xml:space="preserve"> </w:t>
      </w:r>
      <w:r w:rsidR="001A3A49">
        <w:t>index.</w:t>
      </w:r>
    </w:p>
    <w:p w14:paraId="1BB92358" w14:textId="5B315BAC" w:rsidR="001A3A49" w:rsidRDefault="001A3A49">
      <w:pPr>
        <w:contextualSpacing/>
      </w:pPr>
      <w:r>
        <w:t>e.</w:t>
      </w:r>
    </w:p>
    <w:p w14:paraId="680DA454" w14:textId="1F08BEA4" w:rsidR="00D419AD" w:rsidRDefault="001A3A49">
      <w:pPr>
        <w:contextualSpacing/>
      </w:pPr>
      <w:r w:rsidRPr="001A3A49">
        <w:rPr>
          <w:noProof/>
        </w:rPr>
        <w:t xml:space="preserve"> </w:t>
      </w:r>
      <w:r w:rsidR="00274BF6" w:rsidRPr="00274BF6">
        <w:rPr>
          <w:noProof/>
        </w:rPr>
        <w:drawing>
          <wp:inline distT="0" distB="0" distL="0" distR="0" wp14:anchorId="2D86688E" wp14:editId="771A4F5B">
            <wp:extent cx="4486910" cy="1195548"/>
            <wp:effectExtent l="0" t="0" r="0" b="508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02056" cy="1199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E5A11" w14:textId="4BF63571" w:rsidR="00900F20" w:rsidRDefault="00274BF6">
      <w:pPr>
        <w:contextualSpacing/>
      </w:pPr>
      <w:r w:rsidRPr="00274BF6">
        <w:drawing>
          <wp:inline distT="0" distB="0" distL="0" distR="0" wp14:anchorId="3F6D155B" wp14:editId="0C462203">
            <wp:extent cx="2222500" cy="1992169"/>
            <wp:effectExtent l="0" t="0" r="6350" b="825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224746" cy="1994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EC533" w14:textId="085102C9" w:rsidR="001A3A49" w:rsidRDefault="001A3A49" w:rsidP="001A3A49">
      <w:pPr>
        <w:contextualSpacing/>
      </w:pPr>
      <w:r>
        <w:t xml:space="preserve">Nifty </w:t>
      </w:r>
      <w:r w:rsidR="00274BF6">
        <w:t>Media</w:t>
      </w:r>
      <w:r>
        <w:t xml:space="preserve"> is the worst performing sector in the current trading session with a fall of </w:t>
      </w:r>
      <w:r w:rsidR="00274BF6">
        <w:t>2.87</w:t>
      </w:r>
      <w:r>
        <w:t>%. Above are the worst performing stocks in the worst performing index.</w:t>
      </w:r>
    </w:p>
    <w:p w14:paraId="137C2C93" w14:textId="1DC6D0E1" w:rsidR="001A3A49" w:rsidRDefault="001A3A49" w:rsidP="001A3A49">
      <w:pPr>
        <w:contextualSpacing/>
      </w:pPr>
    </w:p>
    <w:p w14:paraId="6F481A88" w14:textId="3C2EC898" w:rsidR="001A3A49" w:rsidRDefault="001A3A49" w:rsidP="001A3A49">
      <w:pPr>
        <w:contextualSpacing/>
      </w:pPr>
    </w:p>
    <w:p w14:paraId="69D24C5A" w14:textId="43C8106E" w:rsidR="001A3A49" w:rsidRDefault="001A3A49" w:rsidP="001A3A49">
      <w:pPr>
        <w:contextualSpacing/>
      </w:pPr>
    </w:p>
    <w:p w14:paraId="501DDDF6" w14:textId="36BE9EDA" w:rsidR="001A3A49" w:rsidRDefault="001A3A49" w:rsidP="001A3A49">
      <w:pPr>
        <w:contextualSpacing/>
      </w:pPr>
      <w:r>
        <w:t xml:space="preserve">Q </w:t>
      </w:r>
      <w:r w:rsidR="009F6D39">
        <w:t>3</w:t>
      </w:r>
      <w:r>
        <w:t>)</w:t>
      </w:r>
    </w:p>
    <w:p w14:paraId="0A8B23B1" w14:textId="16E4F99F" w:rsidR="00CD03CE" w:rsidRDefault="00CD03CE" w:rsidP="001A3A49">
      <w:pPr>
        <w:contextualSpacing/>
      </w:pPr>
      <w:r>
        <w:t>Screening criteria used on Investing.com to screen the 52-week high stocks</w:t>
      </w:r>
    </w:p>
    <w:p w14:paraId="19CFF9BF" w14:textId="1886CA77" w:rsidR="001A3A49" w:rsidRDefault="00247DAF" w:rsidP="001A3A49">
      <w:pPr>
        <w:contextualSpacing/>
      </w:pPr>
      <w:r w:rsidRPr="00247DAF">
        <w:rPr>
          <w:noProof/>
        </w:rPr>
        <w:lastRenderedPageBreak/>
        <w:drawing>
          <wp:inline distT="0" distB="0" distL="0" distR="0" wp14:anchorId="5896D71D" wp14:editId="6C912D61">
            <wp:extent cx="3275635" cy="1692210"/>
            <wp:effectExtent l="0" t="0" r="1270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290243" cy="1699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20430" w14:textId="46CFC1AD" w:rsidR="00247DAF" w:rsidRDefault="006D4124" w:rsidP="001A3A49">
      <w:pPr>
        <w:contextualSpacing/>
      </w:pPr>
      <w:r>
        <w:t>The Qualification criteria of screening 52-week high stocks are:</w:t>
      </w:r>
    </w:p>
    <w:p w14:paraId="4BAAF4E9" w14:textId="4BDCF80A" w:rsidR="006D4124" w:rsidRDefault="006D4124" w:rsidP="006D4124">
      <w:pPr>
        <w:pStyle w:val="ListParagraph"/>
        <w:numPr>
          <w:ilvl w:val="0"/>
          <w:numId w:val="1"/>
        </w:numPr>
      </w:pPr>
      <w:r>
        <w:t>The chart should be beginning from the bottom left of the screen and ending at the top right of the screen</w:t>
      </w:r>
    </w:p>
    <w:p w14:paraId="77247DFB" w14:textId="5415C23F" w:rsidR="006D4124" w:rsidRDefault="006D4124" w:rsidP="006D4124">
      <w:pPr>
        <w:pStyle w:val="ListParagraph"/>
        <w:numPr>
          <w:ilvl w:val="0"/>
          <w:numId w:val="1"/>
        </w:numPr>
      </w:pPr>
      <w:r>
        <w:t>See to it that the sizes of the candles are small</w:t>
      </w:r>
    </w:p>
    <w:p w14:paraId="3AA457C9" w14:textId="7F93D63C" w:rsidR="006D4124" w:rsidRDefault="006D4124" w:rsidP="006D4124">
      <w:pPr>
        <w:pStyle w:val="ListParagraph"/>
        <w:numPr>
          <w:ilvl w:val="0"/>
          <w:numId w:val="1"/>
        </w:numPr>
      </w:pPr>
      <w:r>
        <w:t>We should not see any big dips in the middle of the chart irrespective of the chart moving from left bottom to the top right of the screen</w:t>
      </w:r>
    </w:p>
    <w:p w14:paraId="658EBA0D" w14:textId="1D24EF21" w:rsidR="006D4124" w:rsidRDefault="00CD03CE" w:rsidP="006D4124">
      <w:pPr>
        <w:pStyle w:val="ListParagraph"/>
        <w:numPr>
          <w:ilvl w:val="0"/>
          <w:numId w:val="1"/>
        </w:numPr>
      </w:pPr>
      <w:r>
        <w:t>The chart seen should be a smooth shaped one (upward trend)</w:t>
      </w:r>
    </w:p>
    <w:p w14:paraId="2CF68A73" w14:textId="28CECF96" w:rsidR="00CD03CE" w:rsidRDefault="00CD03CE" w:rsidP="006D4124">
      <w:pPr>
        <w:pStyle w:val="ListParagraph"/>
        <w:numPr>
          <w:ilvl w:val="0"/>
          <w:numId w:val="1"/>
        </w:numPr>
      </w:pPr>
      <w:r>
        <w:t>We have to see to it that is not circuit breakage or blank candles on the chart</w:t>
      </w:r>
    </w:p>
    <w:p w14:paraId="1D95B24B" w14:textId="77777777" w:rsidR="00FD612D" w:rsidRDefault="00CD03CE" w:rsidP="00FD612D">
      <w:r>
        <w:t>Based on the criteria defined we can list down a few stocks which qualify the criteria above:</w:t>
      </w:r>
    </w:p>
    <w:p w14:paraId="66C588B3" w14:textId="77777777" w:rsidR="00FD612D" w:rsidRDefault="00FD612D" w:rsidP="00FD612D">
      <w:pPr>
        <w:pStyle w:val="ListParagraph"/>
        <w:numPr>
          <w:ilvl w:val="0"/>
          <w:numId w:val="3"/>
        </w:numPr>
      </w:pPr>
      <w:r>
        <w:t>Adani Green Energy</w:t>
      </w:r>
    </w:p>
    <w:p w14:paraId="43080446" w14:textId="6499FD5C" w:rsidR="009875CC" w:rsidRDefault="009875CC" w:rsidP="009875CC">
      <w:pPr>
        <w:pStyle w:val="ListParagraph"/>
        <w:numPr>
          <w:ilvl w:val="0"/>
          <w:numId w:val="3"/>
        </w:numPr>
      </w:pPr>
      <w:r>
        <w:t>Larsen and Toubro</w:t>
      </w:r>
    </w:p>
    <w:p w14:paraId="320D514B" w14:textId="6BAF69B9" w:rsidR="009875CC" w:rsidRDefault="009875CC" w:rsidP="009875CC">
      <w:pPr>
        <w:pStyle w:val="ListParagraph"/>
        <w:numPr>
          <w:ilvl w:val="0"/>
          <w:numId w:val="3"/>
        </w:numPr>
      </w:pPr>
      <w:r>
        <w:t>Adani Enterprises</w:t>
      </w:r>
    </w:p>
    <w:p w14:paraId="5992D075" w14:textId="25690A3B" w:rsidR="00F54A55" w:rsidRDefault="00F54A55" w:rsidP="00F54A55">
      <w:pPr>
        <w:pStyle w:val="ListParagraph"/>
        <w:numPr>
          <w:ilvl w:val="0"/>
          <w:numId w:val="3"/>
        </w:numPr>
      </w:pPr>
      <w:r>
        <w:t>Titan Company</w:t>
      </w:r>
    </w:p>
    <w:p w14:paraId="2C6F62BC" w14:textId="7E96C384" w:rsidR="00F54A55" w:rsidRDefault="00F54A55" w:rsidP="00F54A55">
      <w:pPr>
        <w:pStyle w:val="ListParagraph"/>
        <w:numPr>
          <w:ilvl w:val="0"/>
          <w:numId w:val="3"/>
        </w:numPr>
      </w:pPr>
      <w:r>
        <w:t>Vedanta</w:t>
      </w:r>
    </w:p>
    <w:p w14:paraId="78D7A42C" w14:textId="059DD4FA" w:rsidR="00F54A55" w:rsidRDefault="00F54A55" w:rsidP="00F54A55"/>
    <w:p w14:paraId="672865E5" w14:textId="13830960" w:rsidR="00287A31" w:rsidRDefault="00287A31" w:rsidP="00F54A55">
      <w:r>
        <w:t xml:space="preserve">Q </w:t>
      </w:r>
      <w:r w:rsidR="009F6D39">
        <w:t>4</w:t>
      </w:r>
      <w:r>
        <w:t>)</w:t>
      </w:r>
    </w:p>
    <w:p w14:paraId="4A250906" w14:textId="6BB44D7C" w:rsidR="00D03732" w:rsidRDefault="002D165A" w:rsidP="00F54A55">
      <w:r w:rsidRPr="002D165A">
        <w:drawing>
          <wp:inline distT="0" distB="0" distL="0" distR="0" wp14:anchorId="111AB460" wp14:editId="4886854A">
            <wp:extent cx="4273770" cy="552478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73770" cy="552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D7392" w14:textId="77777777" w:rsidR="002D165A" w:rsidRDefault="002D165A" w:rsidP="00F54A55"/>
    <w:p w14:paraId="3FF4D19A" w14:textId="77777777" w:rsidR="00D03732" w:rsidRDefault="00D03732" w:rsidP="00F54A55"/>
    <w:p w14:paraId="4404C23A" w14:textId="77777777" w:rsidR="00F54A55" w:rsidRDefault="00F54A55" w:rsidP="00F54A55"/>
    <w:sectPr w:rsidR="00F54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34585"/>
    <w:multiLevelType w:val="hybridMultilevel"/>
    <w:tmpl w:val="67E4179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5F6614"/>
    <w:multiLevelType w:val="hybridMultilevel"/>
    <w:tmpl w:val="27F8B3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2310F"/>
    <w:multiLevelType w:val="hybridMultilevel"/>
    <w:tmpl w:val="D56E790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1897928">
    <w:abstractNumId w:val="0"/>
  </w:num>
  <w:num w:numId="2" w16cid:durableId="684327894">
    <w:abstractNumId w:val="1"/>
  </w:num>
  <w:num w:numId="3" w16cid:durableId="2057122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1E"/>
    <w:rsid w:val="0007170A"/>
    <w:rsid w:val="00160AF3"/>
    <w:rsid w:val="0017193C"/>
    <w:rsid w:val="001A3A49"/>
    <w:rsid w:val="00247DAF"/>
    <w:rsid w:val="00274BF6"/>
    <w:rsid w:val="00287A31"/>
    <w:rsid w:val="002D165A"/>
    <w:rsid w:val="003E77F2"/>
    <w:rsid w:val="005027F0"/>
    <w:rsid w:val="00575CB1"/>
    <w:rsid w:val="005B644E"/>
    <w:rsid w:val="005C2E97"/>
    <w:rsid w:val="005C6937"/>
    <w:rsid w:val="005F0162"/>
    <w:rsid w:val="006D13F1"/>
    <w:rsid w:val="006D4124"/>
    <w:rsid w:val="00724A97"/>
    <w:rsid w:val="00814B77"/>
    <w:rsid w:val="00900F20"/>
    <w:rsid w:val="00902E13"/>
    <w:rsid w:val="00965030"/>
    <w:rsid w:val="009875CC"/>
    <w:rsid w:val="009F6D39"/>
    <w:rsid w:val="00AB5AFF"/>
    <w:rsid w:val="00C25D19"/>
    <w:rsid w:val="00CD03CE"/>
    <w:rsid w:val="00D03732"/>
    <w:rsid w:val="00D419AD"/>
    <w:rsid w:val="00D839EF"/>
    <w:rsid w:val="00D9121E"/>
    <w:rsid w:val="00F54A55"/>
    <w:rsid w:val="00FD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2E728"/>
  <w15:chartTrackingRefBased/>
  <w15:docId w15:val="{4E582C04-F1E5-4E09-AD33-FE30939B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1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01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s://www.moneycontrol.com/news/business/moneycontrol-research/godrej-consumer-products-pricing-led-growth-in-revenue-but-pressure-is-on-margins-8327591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www.moneycontrol.com/news/business/stocks/titan-company-weak-quarterly-numbers-but-strong-long-term-growth-prospects-8327841.html" TargetMode="External"/><Relationship Id="rId23" Type="http://schemas.openxmlformats.org/officeDocument/2006/relationships/image" Target="media/image17.png"/><Relationship Id="rId10" Type="http://schemas.openxmlformats.org/officeDocument/2006/relationships/image" Target="media/image6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Keshav Sultania</dc:creator>
  <cp:keywords/>
  <dc:description/>
  <cp:lastModifiedBy>Keshav Sultania</cp:lastModifiedBy>
  <cp:revision>4</cp:revision>
  <dcterms:created xsi:type="dcterms:W3CDTF">2022-04-07T05:10:00Z</dcterms:created>
  <dcterms:modified xsi:type="dcterms:W3CDTF">2022-04-30T12:36:00Z</dcterms:modified>
</cp:coreProperties>
</file>